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54" w:rsidRPr="00865369" w:rsidRDefault="001D0954" w:rsidP="001D0954">
      <w:pPr>
        <w:pStyle w:val="Textoindependiente2"/>
        <w:ind w:left="-187" w:right="51"/>
        <w:jc w:val="center"/>
        <w:rPr>
          <w:rFonts w:ascii="Verdana" w:hAnsi="Verdana"/>
          <w:b/>
          <w:sz w:val="22"/>
          <w:szCs w:val="22"/>
        </w:rPr>
      </w:pPr>
      <w:r w:rsidRPr="00865369">
        <w:rPr>
          <w:rFonts w:ascii="Verdana" w:hAnsi="Verdana"/>
          <w:b/>
          <w:sz w:val="22"/>
          <w:szCs w:val="22"/>
        </w:rPr>
        <w:t xml:space="preserve">RESOLUCION No. </w:t>
      </w:r>
      <w:bookmarkStart w:id="0" w:name="_GoBack"/>
      <w:r w:rsidRPr="00865369">
        <w:rPr>
          <w:rFonts w:ascii="Verdana" w:hAnsi="Verdana"/>
          <w:b/>
          <w:sz w:val="22"/>
          <w:szCs w:val="22"/>
        </w:rPr>
        <w:t xml:space="preserve">TAT- </w:t>
      </w:r>
      <w:r w:rsidR="0042207E">
        <w:rPr>
          <w:rFonts w:ascii="Verdana" w:hAnsi="Verdana"/>
          <w:b/>
          <w:sz w:val="22"/>
          <w:szCs w:val="22"/>
        </w:rPr>
        <w:t>2959</w:t>
      </w:r>
      <w:r w:rsidRPr="00865369">
        <w:rPr>
          <w:rFonts w:ascii="Verdana" w:hAnsi="Verdana"/>
          <w:b/>
          <w:sz w:val="22"/>
          <w:szCs w:val="22"/>
        </w:rPr>
        <w:t>-201</w:t>
      </w:r>
      <w:r>
        <w:rPr>
          <w:rFonts w:ascii="Verdana" w:hAnsi="Verdana"/>
          <w:b/>
          <w:sz w:val="22"/>
          <w:szCs w:val="22"/>
        </w:rPr>
        <w:t>6</w:t>
      </w:r>
      <w:bookmarkEnd w:id="0"/>
    </w:p>
    <w:p w:rsidR="001D0954" w:rsidRPr="00865369" w:rsidRDefault="001D0954" w:rsidP="001D0954">
      <w:pPr>
        <w:pStyle w:val="Textoindependiente2"/>
        <w:ind w:left="-187" w:right="51"/>
        <w:rPr>
          <w:rFonts w:ascii="Verdana" w:hAnsi="Verdana"/>
          <w:b/>
          <w:sz w:val="22"/>
          <w:szCs w:val="22"/>
        </w:rPr>
      </w:pPr>
    </w:p>
    <w:p w:rsidR="001D0954" w:rsidRPr="00865369" w:rsidRDefault="001D0954" w:rsidP="001D0954">
      <w:pPr>
        <w:pStyle w:val="Textoindependiente2"/>
        <w:ind w:left="-187" w:right="51"/>
        <w:rPr>
          <w:rFonts w:ascii="Verdana" w:hAnsi="Verdana"/>
          <w:b/>
          <w:sz w:val="22"/>
          <w:szCs w:val="22"/>
          <w:lang w:val="es-ES"/>
        </w:rPr>
      </w:pPr>
    </w:p>
    <w:p w:rsidR="001D0954" w:rsidRPr="00865369" w:rsidRDefault="001D0954" w:rsidP="001D0954">
      <w:pPr>
        <w:pStyle w:val="Textoindependiente2"/>
        <w:ind w:left="-187" w:right="51"/>
        <w:rPr>
          <w:rFonts w:ascii="Verdana" w:hAnsi="Verdana"/>
          <w:sz w:val="22"/>
          <w:szCs w:val="22"/>
          <w:lang w:val="es-ES"/>
        </w:rPr>
      </w:pPr>
      <w:r w:rsidRPr="00865369">
        <w:rPr>
          <w:rFonts w:ascii="Verdana" w:hAnsi="Verdana"/>
          <w:b/>
          <w:sz w:val="22"/>
          <w:szCs w:val="22"/>
          <w:lang w:val="es-ES"/>
        </w:rPr>
        <w:t xml:space="preserve">TRIBUNAL ADMINISTRATIVO DE TRANSPORTE.  San José, </w:t>
      </w:r>
      <w:r w:rsidR="0042207E">
        <w:rPr>
          <w:rFonts w:ascii="Verdana" w:hAnsi="Verdana"/>
          <w:sz w:val="22"/>
          <w:szCs w:val="22"/>
          <w:lang w:val="es-ES"/>
        </w:rPr>
        <w:t>a las diez horas treinta y ocho minutos del treinta y uno de marzo</w:t>
      </w:r>
      <w:r>
        <w:rPr>
          <w:rFonts w:ascii="Verdana" w:hAnsi="Verdana"/>
          <w:sz w:val="22"/>
          <w:szCs w:val="22"/>
          <w:lang w:val="es-ES"/>
        </w:rPr>
        <w:t xml:space="preserve"> de</w:t>
      </w:r>
      <w:r w:rsidRPr="00865369">
        <w:rPr>
          <w:rFonts w:ascii="Verdana" w:hAnsi="Verdana"/>
          <w:sz w:val="22"/>
          <w:szCs w:val="22"/>
          <w:lang w:val="es-ES"/>
        </w:rPr>
        <w:t xml:space="preserve"> dos mil </w:t>
      </w:r>
      <w:r>
        <w:rPr>
          <w:rFonts w:ascii="Verdana" w:hAnsi="Verdana"/>
          <w:sz w:val="22"/>
          <w:szCs w:val="22"/>
          <w:lang w:val="es-ES"/>
        </w:rPr>
        <w:t>dieciséis</w:t>
      </w:r>
      <w:r w:rsidRPr="00865369">
        <w:rPr>
          <w:rFonts w:ascii="Verdana" w:hAnsi="Verdana"/>
          <w:sz w:val="22"/>
          <w:szCs w:val="22"/>
          <w:lang w:val="es-ES"/>
        </w:rPr>
        <w:t xml:space="preserve">.   </w:t>
      </w:r>
    </w:p>
    <w:p w:rsidR="001D0954" w:rsidRPr="00865369" w:rsidRDefault="001D0954" w:rsidP="001D0954">
      <w:pPr>
        <w:pStyle w:val="Textoindependiente2"/>
        <w:ind w:left="-187" w:right="51"/>
        <w:rPr>
          <w:rFonts w:ascii="Verdana" w:hAnsi="Verdana"/>
          <w:sz w:val="22"/>
          <w:szCs w:val="22"/>
          <w:lang w:val="es-ES"/>
        </w:rPr>
      </w:pPr>
    </w:p>
    <w:p w:rsidR="001D0954" w:rsidRDefault="001D0954" w:rsidP="001D0954">
      <w:pPr>
        <w:pStyle w:val="Textoindependiente2"/>
        <w:ind w:left="-187" w:right="51"/>
        <w:rPr>
          <w:rFonts w:ascii="Verdana" w:hAnsi="Verdana"/>
          <w:b/>
          <w:sz w:val="22"/>
          <w:szCs w:val="22"/>
        </w:rPr>
      </w:pPr>
      <w:r w:rsidRPr="00865369">
        <w:rPr>
          <w:rFonts w:ascii="Verdana" w:hAnsi="Verdana"/>
          <w:sz w:val="22"/>
          <w:szCs w:val="22"/>
        </w:rPr>
        <w:t>Recurso de Apelación</w:t>
      </w:r>
      <w:r>
        <w:rPr>
          <w:rFonts w:ascii="Verdana" w:hAnsi="Verdana"/>
          <w:sz w:val="22"/>
          <w:szCs w:val="22"/>
        </w:rPr>
        <w:t xml:space="preserve"> y Nulidad concomitante</w:t>
      </w:r>
      <w:r w:rsidRPr="00865369">
        <w:rPr>
          <w:rFonts w:ascii="Verdana" w:hAnsi="Verdana"/>
          <w:sz w:val="22"/>
          <w:szCs w:val="22"/>
        </w:rPr>
        <w:t xml:space="preserve">, </w:t>
      </w:r>
      <w:bookmarkStart w:id="1" w:name="OLE_LINK1"/>
      <w:r w:rsidRPr="00865369">
        <w:rPr>
          <w:rFonts w:ascii="Verdana" w:hAnsi="Verdana"/>
          <w:sz w:val="22"/>
          <w:szCs w:val="22"/>
        </w:rPr>
        <w:t xml:space="preserve">presentado </w:t>
      </w:r>
      <w:r>
        <w:rPr>
          <w:rFonts w:ascii="Verdana" w:hAnsi="Verdana"/>
          <w:sz w:val="22"/>
          <w:szCs w:val="22"/>
          <w:lang w:val="es-CR"/>
        </w:rPr>
        <w:t>por</w:t>
      </w:r>
      <w:r w:rsidRPr="00865369">
        <w:rPr>
          <w:rFonts w:ascii="Verdana" w:hAnsi="Verdana"/>
          <w:b/>
          <w:sz w:val="22"/>
          <w:szCs w:val="22"/>
          <w:lang w:val="es-CR"/>
        </w:rPr>
        <w:t xml:space="preserve"> </w:t>
      </w:r>
      <w:r>
        <w:rPr>
          <w:rFonts w:ascii="Verdana" w:hAnsi="Verdana"/>
          <w:sz w:val="22"/>
          <w:szCs w:val="22"/>
          <w:lang w:val="es-CR"/>
        </w:rPr>
        <w:t>la empresa</w:t>
      </w:r>
      <w:r w:rsidRPr="00870493">
        <w:rPr>
          <w:rFonts w:ascii="Verdana" w:hAnsi="Verdana"/>
          <w:b/>
          <w:sz w:val="22"/>
          <w:szCs w:val="22"/>
        </w:rPr>
        <w:t xml:space="preserve"> </w:t>
      </w:r>
      <w:r w:rsidR="00AA59CD">
        <w:rPr>
          <w:rFonts w:ascii="Verdana" w:hAnsi="Verdana"/>
          <w:b/>
          <w:sz w:val="22"/>
          <w:szCs w:val="22"/>
        </w:rPr>
        <w:t>D.S.R.</w:t>
      </w:r>
      <w:r w:rsidRPr="00865369">
        <w:rPr>
          <w:rFonts w:ascii="Verdana" w:hAnsi="Verdana"/>
          <w:sz w:val="22"/>
          <w:szCs w:val="22"/>
          <w:lang w:val="es-CR"/>
        </w:rPr>
        <w:t xml:space="preserve">, </w:t>
      </w:r>
      <w:r>
        <w:rPr>
          <w:rFonts w:ascii="Verdana" w:hAnsi="Verdana"/>
          <w:sz w:val="22"/>
          <w:szCs w:val="22"/>
          <w:lang w:val="es-CR"/>
        </w:rPr>
        <w:t xml:space="preserve">por medio de su </w:t>
      </w:r>
      <w:r w:rsidRPr="00865369">
        <w:rPr>
          <w:rFonts w:ascii="Verdana" w:hAnsi="Verdana"/>
          <w:sz w:val="22"/>
          <w:szCs w:val="22"/>
        </w:rPr>
        <w:t>representante</w:t>
      </w:r>
      <w:r>
        <w:rPr>
          <w:rFonts w:ascii="Verdana" w:hAnsi="Verdana"/>
          <w:sz w:val="22"/>
          <w:szCs w:val="22"/>
        </w:rPr>
        <w:t xml:space="preserve"> en calidad de Apoderado Generalísimo sin límite de suma, </w:t>
      </w:r>
      <w:r w:rsidRPr="00865369">
        <w:rPr>
          <w:rFonts w:ascii="Verdana" w:hAnsi="Verdana"/>
          <w:sz w:val="22"/>
          <w:szCs w:val="22"/>
        </w:rPr>
        <w:t xml:space="preserve">señor </w:t>
      </w:r>
      <w:r w:rsidR="00805F41">
        <w:rPr>
          <w:rFonts w:ascii="Verdana" w:hAnsi="Verdana"/>
          <w:b/>
          <w:sz w:val="22"/>
          <w:szCs w:val="22"/>
        </w:rPr>
        <w:t>L.G.G.</w:t>
      </w:r>
      <w:r>
        <w:rPr>
          <w:rFonts w:ascii="Verdana" w:hAnsi="Verdana"/>
          <w:sz w:val="22"/>
          <w:szCs w:val="22"/>
        </w:rPr>
        <w:t xml:space="preserve">, </w:t>
      </w:r>
      <w:r>
        <w:rPr>
          <w:rFonts w:ascii="Verdana" w:hAnsi="Verdana"/>
          <w:sz w:val="22"/>
          <w:szCs w:val="22"/>
          <w:lang w:val="es-CR"/>
        </w:rPr>
        <w:t xml:space="preserve">contra el </w:t>
      </w:r>
      <w:r w:rsidRPr="00C10ADF">
        <w:rPr>
          <w:rFonts w:ascii="Verdana" w:hAnsi="Verdana"/>
          <w:b/>
          <w:sz w:val="22"/>
          <w:szCs w:val="22"/>
          <w:lang w:val="es-CR"/>
        </w:rPr>
        <w:t>acuerdo 8.1 de la Sesión Ordinaria 25-201</w:t>
      </w:r>
      <w:r>
        <w:rPr>
          <w:rFonts w:ascii="Verdana" w:hAnsi="Verdana"/>
          <w:b/>
          <w:sz w:val="22"/>
          <w:szCs w:val="22"/>
          <w:lang w:val="es-CR"/>
        </w:rPr>
        <w:t>5</w:t>
      </w:r>
      <w:r w:rsidRPr="00C10ADF">
        <w:rPr>
          <w:rFonts w:ascii="Verdana" w:hAnsi="Verdana"/>
          <w:b/>
          <w:sz w:val="22"/>
          <w:szCs w:val="22"/>
          <w:lang w:val="es-CR"/>
        </w:rPr>
        <w:t xml:space="preserve"> de </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mayo</w:t>
      </w:r>
      <w:r w:rsidRPr="00C10ADF">
        <w:rPr>
          <w:rFonts w:ascii="Verdana" w:hAnsi="Verdana"/>
          <w:b/>
          <w:sz w:val="22"/>
          <w:szCs w:val="22"/>
          <w:lang w:val="es-CR"/>
        </w:rPr>
        <w:t xml:space="preserve"> de 201</w:t>
      </w:r>
      <w:r>
        <w:rPr>
          <w:rFonts w:ascii="Verdana" w:hAnsi="Verdana"/>
          <w:b/>
          <w:sz w:val="22"/>
          <w:szCs w:val="22"/>
          <w:lang w:val="es-CR"/>
        </w:rPr>
        <w:t>5</w:t>
      </w:r>
      <w:r>
        <w:rPr>
          <w:rFonts w:ascii="Verdana" w:hAnsi="Verdana"/>
          <w:sz w:val="22"/>
          <w:szCs w:val="22"/>
          <w:lang w:val="es-CR"/>
        </w:rPr>
        <w:t xml:space="preserve">, de la Junta Directiva del Consejo de Transporte Público. </w:t>
      </w:r>
      <w:bookmarkEnd w:id="1"/>
      <w:r>
        <w:rPr>
          <w:rFonts w:ascii="Verdana" w:hAnsi="Verdana"/>
          <w:sz w:val="22"/>
          <w:szCs w:val="22"/>
          <w:lang w:val="es-CR"/>
        </w:rPr>
        <w:t xml:space="preserve"> El caso se tramita bajo </w:t>
      </w:r>
      <w:r w:rsidRPr="00865369">
        <w:rPr>
          <w:rFonts w:ascii="Verdana" w:hAnsi="Verdana"/>
          <w:b/>
          <w:sz w:val="22"/>
          <w:szCs w:val="22"/>
        </w:rPr>
        <w:t>Expediente Administrativo No. TAT-</w:t>
      </w:r>
      <w:r>
        <w:rPr>
          <w:rFonts w:ascii="Verdana" w:hAnsi="Verdana"/>
          <w:b/>
          <w:sz w:val="22"/>
          <w:szCs w:val="22"/>
        </w:rPr>
        <w:t>38</w:t>
      </w:r>
      <w:r w:rsidR="00B95740">
        <w:rPr>
          <w:rFonts w:ascii="Verdana" w:hAnsi="Verdana"/>
          <w:b/>
          <w:sz w:val="22"/>
          <w:szCs w:val="22"/>
        </w:rPr>
        <w:t>0</w:t>
      </w:r>
      <w:r w:rsidRPr="00865369">
        <w:rPr>
          <w:rFonts w:ascii="Verdana" w:hAnsi="Verdana"/>
          <w:b/>
          <w:sz w:val="22"/>
          <w:szCs w:val="22"/>
        </w:rPr>
        <w:t>-1</w:t>
      </w:r>
      <w:r>
        <w:rPr>
          <w:rFonts w:ascii="Verdana" w:hAnsi="Verdana"/>
          <w:b/>
          <w:sz w:val="22"/>
          <w:szCs w:val="22"/>
        </w:rPr>
        <w:t>5.</w:t>
      </w:r>
    </w:p>
    <w:p w:rsidR="001D0954" w:rsidRDefault="001D0954" w:rsidP="001D0954">
      <w:pPr>
        <w:pStyle w:val="Textoindependiente2"/>
        <w:ind w:left="-187" w:right="51"/>
        <w:rPr>
          <w:rFonts w:ascii="Verdana" w:hAnsi="Verdana"/>
          <w:b/>
          <w:sz w:val="22"/>
          <w:szCs w:val="22"/>
        </w:rPr>
      </w:pPr>
    </w:p>
    <w:p w:rsidR="001D0954" w:rsidRDefault="001D0954" w:rsidP="001D0954">
      <w:pPr>
        <w:pStyle w:val="Textoindependiente2"/>
        <w:ind w:left="-187" w:right="51"/>
        <w:rPr>
          <w:rFonts w:ascii="Verdana" w:hAnsi="Verdana"/>
          <w:b/>
          <w:sz w:val="22"/>
          <w:szCs w:val="22"/>
        </w:rPr>
      </w:pPr>
    </w:p>
    <w:p w:rsidR="001D0954" w:rsidRDefault="0054792D" w:rsidP="001D0954">
      <w:pPr>
        <w:pStyle w:val="Textoindependiente2"/>
        <w:ind w:left="-187" w:right="51"/>
        <w:jc w:val="center"/>
        <w:rPr>
          <w:rFonts w:ascii="Verdana" w:hAnsi="Verdana"/>
          <w:b/>
          <w:sz w:val="22"/>
          <w:szCs w:val="22"/>
        </w:rPr>
      </w:pPr>
      <w:r>
        <w:rPr>
          <w:rFonts w:ascii="Verdana" w:hAnsi="Verdana"/>
          <w:b/>
          <w:sz w:val="22"/>
          <w:szCs w:val="22"/>
        </w:rPr>
        <w:t>RESULTANDO</w:t>
      </w:r>
    </w:p>
    <w:p w:rsidR="001D0954" w:rsidRDefault="001D0954" w:rsidP="001D0954">
      <w:pPr>
        <w:pStyle w:val="Textoindependiente2"/>
        <w:ind w:left="-187" w:right="51"/>
        <w:jc w:val="center"/>
        <w:rPr>
          <w:rFonts w:ascii="Verdana" w:hAnsi="Verdana"/>
          <w:b/>
          <w:sz w:val="22"/>
          <w:szCs w:val="22"/>
        </w:rPr>
      </w:pPr>
    </w:p>
    <w:p w:rsidR="001D0954" w:rsidRDefault="001D0954" w:rsidP="001D0954">
      <w:pPr>
        <w:pStyle w:val="Textoindependiente2"/>
        <w:ind w:left="-187" w:right="51"/>
        <w:jc w:val="center"/>
        <w:rPr>
          <w:rFonts w:ascii="Verdana" w:hAnsi="Verdana"/>
          <w:b/>
          <w:sz w:val="22"/>
          <w:szCs w:val="22"/>
        </w:rPr>
      </w:pPr>
    </w:p>
    <w:p w:rsidR="001D0954" w:rsidRDefault="001D0954" w:rsidP="001D0954">
      <w:pPr>
        <w:pStyle w:val="Textoindependiente2"/>
        <w:ind w:left="-187" w:right="51"/>
        <w:rPr>
          <w:rFonts w:ascii="Verdana" w:hAnsi="Verdana"/>
          <w:sz w:val="22"/>
          <w:szCs w:val="22"/>
          <w:lang w:val="es-CR"/>
        </w:rPr>
      </w:pPr>
      <w:r>
        <w:rPr>
          <w:rFonts w:ascii="Verdana" w:hAnsi="Verdana"/>
          <w:b/>
          <w:sz w:val="22"/>
          <w:szCs w:val="22"/>
        </w:rPr>
        <w:t xml:space="preserve">PRIMERO: </w:t>
      </w:r>
      <w:r>
        <w:rPr>
          <w:rFonts w:ascii="Verdana" w:hAnsi="Verdana"/>
          <w:sz w:val="22"/>
          <w:szCs w:val="22"/>
        </w:rPr>
        <w:t xml:space="preserve">La Junta Directiva del Consejo de Transporte Público, mediante el </w:t>
      </w:r>
      <w:r w:rsidRPr="00C10ADF">
        <w:rPr>
          <w:rFonts w:ascii="Verdana" w:hAnsi="Verdana"/>
          <w:b/>
          <w:sz w:val="22"/>
          <w:szCs w:val="22"/>
          <w:lang w:val="es-CR"/>
        </w:rPr>
        <w:t>acuerdo 8.1 de la Sesión Ordinaria 25-201</w:t>
      </w:r>
      <w:r>
        <w:rPr>
          <w:rFonts w:ascii="Verdana" w:hAnsi="Verdana"/>
          <w:b/>
          <w:sz w:val="22"/>
          <w:szCs w:val="22"/>
          <w:lang w:val="es-CR"/>
        </w:rPr>
        <w:t>5</w:t>
      </w:r>
      <w:r w:rsidRPr="00C10ADF">
        <w:rPr>
          <w:rFonts w:ascii="Verdana" w:hAnsi="Verdana"/>
          <w:b/>
          <w:sz w:val="22"/>
          <w:szCs w:val="22"/>
          <w:lang w:val="es-CR"/>
        </w:rPr>
        <w:t xml:space="preserve"> de </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mayo</w:t>
      </w:r>
      <w:r w:rsidRPr="00C10ADF">
        <w:rPr>
          <w:rFonts w:ascii="Verdana" w:hAnsi="Verdana"/>
          <w:b/>
          <w:sz w:val="22"/>
          <w:szCs w:val="22"/>
          <w:lang w:val="es-CR"/>
        </w:rPr>
        <w:t xml:space="preserve"> de 201</w:t>
      </w:r>
      <w:r>
        <w:rPr>
          <w:rFonts w:ascii="Verdana" w:hAnsi="Verdana"/>
          <w:b/>
          <w:sz w:val="22"/>
          <w:szCs w:val="22"/>
          <w:lang w:val="es-CR"/>
        </w:rPr>
        <w:t xml:space="preserve">5, </w:t>
      </w:r>
      <w:r w:rsidR="0054792D" w:rsidRPr="00AF6122">
        <w:rPr>
          <w:rFonts w:ascii="Verdana" w:hAnsi="Verdana"/>
          <w:sz w:val="22"/>
          <w:szCs w:val="22"/>
          <w:lang w:val="es-CR"/>
        </w:rPr>
        <w:t>dispone lo</w:t>
      </w:r>
      <w:r>
        <w:rPr>
          <w:rFonts w:ascii="Verdana" w:hAnsi="Verdana"/>
          <w:sz w:val="22"/>
          <w:szCs w:val="22"/>
          <w:lang w:val="es-CR"/>
        </w:rPr>
        <w:t xml:space="preserve"> siguiente: (Léanse folios 3</w:t>
      </w:r>
      <w:r w:rsidR="000540D5">
        <w:rPr>
          <w:rFonts w:ascii="Verdana" w:hAnsi="Verdana"/>
          <w:sz w:val="22"/>
          <w:szCs w:val="22"/>
          <w:lang w:val="es-CR"/>
        </w:rPr>
        <w:t xml:space="preserve">0 </w:t>
      </w:r>
      <w:r>
        <w:rPr>
          <w:rFonts w:ascii="Verdana" w:hAnsi="Verdana"/>
          <w:sz w:val="22"/>
          <w:szCs w:val="22"/>
          <w:lang w:val="es-CR"/>
        </w:rPr>
        <w:t>y 3</w:t>
      </w:r>
      <w:r w:rsidR="000540D5">
        <w:rPr>
          <w:rFonts w:ascii="Verdana" w:hAnsi="Verdana"/>
          <w:sz w:val="22"/>
          <w:szCs w:val="22"/>
          <w:lang w:val="es-CR"/>
        </w:rPr>
        <w:t>1</w:t>
      </w:r>
      <w:r>
        <w:rPr>
          <w:rFonts w:ascii="Verdana" w:hAnsi="Verdana"/>
          <w:sz w:val="22"/>
          <w:szCs w:val="22"/>
          <w:lang w:val="es-CR"/>
        </w:rPr>
        <w:t xml:space="preserve"> del expediente administrativo)</w:t>
      </w:r>
    </w:p>
    <w:p w:rsidR="001D0954" w:rsidRDefault="001D0954" w:rsidP="001D0954">
      <w:pPr>
        <w:pStyle w:val="Textoindependiente2"/>
        <w:ind w:left="-187" w:right="51"/>
        <w:rPr>
          <w:rFonts w:ascii="Verdana" w:hAnsi="Verdana"/>
          <w:sz w:val="22"/>
          <w:szCs w:val="22"/>
          <w:lang w:val="es-CR"/>
        </w:rPr>
      </w:pPr>
    </w:p>
    <w:p w:rsidR="001D0954" w:rsidRDefault="001D0954" w:rsidP="001D0954">
      <w:pPr>
        <w:pStyle w:val="Default"/>
        <w:ind w:left="397"/>
        <w:jc w:val="both"/>
        <w:rPr>
          <w:rFonts w:ascii="Verdana" w:hAnsi="Verdana"/>
          <w:b/>
          <w:bCs/>
          <w:i/>
          <w:sz w:val="18"/>
          <w:szCs w:val="18"/>
        </w:rPr>
      </w:pP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“CONSIDERANDO: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PRIMERO: </w:t>
      </w:r>
      <w:r w:rsidRPr="001D2476">
        <w:rPr>
          <w:rFonts w:ascii="Verdana" w:hAnsi="Verdana"/>
          <w:i/>
          <w:sz w:val="18"/>
          <w:szCs w:val="18"/>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SEGUNDO: </w:t>
      </w:r>
      <w:r w:rsidRPr="001D2476">
        <w:rPr>
          <w:rFonts w:ascii="Verdana" w:hAnsi="Verdana"/>
          <w:i/>
          <w:sz w:val="18"/>
          <w:szCs w:val="18"/>
        </w:rPr>
        <w:t xml:space="preserve">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 “El término de la concesión será el que señala el contrato-concesión y se fijará tomando en cuenta el monto de la inversión y el plazo para amortizarlo y obtener una ganancia justa; podrá ser de hasta siete </w:t>
      </w:r>
      <w:proofErr w:type="gramStart"/>
      <w:r w:rsidRPr="001D2476">
        <w:rPr>
          <w:rFonts w:ascii="Verdana" w:hAnsi="Verdana"/>
          <w:i/>
          <w:sz w:val="18"/>
          <w:szCs w:val="18"/>
        </w:rPr>
        <w:t>años</w:t>
      </w:r>
      <w:proofErr w:type="gramEnd"/>
      <w:r w:rsidRPr="001D2476">
        <w:rPr>
          <w:rFonts w:ascii="Verdana" w:hAnsi="Verdana"/>
          <w:i/>
          <w:sz w:val="18"/>
          <w:szCs w:val="18"/>
        </w:rPr>
        <w:t xml:space="preserve"> pero podrá ser renovado si el concesionario ha cumplido a cabalidad con todas y cada una de sus obligaciones y se ha comprometido formalmente a cumplir con las disposiciones que se establezcan conforme a la ley No 3503”.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TERCERO: </w:t>
      </w:r>
      <w:r w:rsidRPr="001D2476">
        <w:rPr>
          <w:rFonts w:ascii="Verdana" w:hAnsi="Verdana"/>
          <w:i/>
          <w:sz w:val="18"/>
          <w:szCs w:val="18"/>
        </w:rPr>
        <w:t>Que el contrato de concesión de ruta regular surte eficacia jurídica plena una vez que éste haya sido objeto de referendo por parte de la Autoridad Reguladora de los Servicios Públicos (ARESEP), dicho refrendo es exigido por la Ley 7593, es una “</w:t>
      </w:r>
      <w:proofErr w:type="spellStart"/>
      <w:r w:rsidRPr="001D2476">
        <w:rPr>
          <w:rFonts w:ascii="Verdana" w:hAnsi="Verdana"/>
          <w:i/>
          <w:sz w:val="18"/>
          <w:szCs w:val="18"/>
        </w:rPr>
        <w:t>condictio</w:t>
      </w:r>
      <w:proofErr w:type="spellEnd"/>
      <w:r w:rsidRPr="001D2476">
        <w:rPr>
          <w:rFonts w:ascii="Verdana" w:hAnsi="Verdana"/>
          <w:i/>
          <w:sz w:val="18"/>
          <w:szCs w:val="18"/>
        </w:rPr>
        <w:t xml:space="preserve"> </w:t>
      </w:r>
      <w:proofErr w:type="spellStart"/>
      <w:r w:rsidRPr="001D2476">
        <w:rPr>
          <w:rFonts w:ascii="Verdana" w:hAnsi="Verdana"/>
          <w:i/>
          <w:sz w:val="18"/>
          <w:szCs w:val="18"/>
        </w:rPr>
        <w:t>juris</w:t>
      </w:r>
      <w:proofErr w:type="spellEnd"/>
      <w:r w:rsidRPr="001D2476">
        <w:rPr>
          <w:rFonts w:ascii="Verdana" w:hAnsi="Verdana"/>
          <w:i/>
          <w:sz w:val="18"/>
          <w:szCs w:val="18"/>
        </w:rPr>
        <w:t>”; y es el que permite que el acto despliegue su eficacia con efecto retroactivo a la fecha de adopción del acto administrativo de renovación de concesión.</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CUARTO: </w:t>
      </w:r>
      <w:r w:rsidRPr="001D2476">
        <w:rPr>
          <w:rFonts w:ascii="Verdana" w:hAnsi="Verdana"/>
          <w:i/>
          <w:sz w:val="18"/>
          <w:szCs w:val="18"/>
        </w:rPr>
        <w:t xml:space="preserve">Que 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w:t>
      </w:r>
      <w:proofErr w:type="gramStart"/>
      <w:r w:rsidRPr="001D2476">
        <w:rPr>
          <w:rFonts w:ascii="Verdana" w:hAnsi="Verdana"/>
          <w:i/>
          <w:sz w:val="18"/>
          <w:szCs w:val="18"/>
        </w:rPr>
        <w:t>tanto</w:t>
      </w:r>
      <w:proofErr w:type="gramEnd"/>
      <w:r w:rsidRPr="001D2476">
        <w:rPr>
          <w:rFonts w:ascii="Verdana" w:hAnsi="Verdana"/>
          <w:i/>
          <w:sz w:val="18"/>
          <w:szCs w:val="18"/>
        </w:rPr>
        <w:t xml:space="preserve"> el acto que requiera aprobación de otro órgano (ARESEP), mientras no se haya dado, el acto no será eficaz. Aclarando que el efecto retroactivo es en relación con la eficacia del acto y no para las fijaciones tarifarias, mismas que regirán una vez publicadas en La Gaceta.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QUINTO: </w:t>
      </w:r>
      <w:r w:rsidRPr="001D2476">
        <w:rPr>
          <w:rFonts w:ascii="Verdana" w:hAnsi="Verdana"/>
          <w:i/>
          <w:sz w:val="18"/>
          <w:szCs w:val="18"/>
        </w:rPr>
        <w:t xml:space="preserve">Que la doctrina ha establecido que “…es posible, </w:t>
      </w:r>
      <w:proofErr w:type="gramStart"/>
      <w:r w:rsidRPr="001D2476">
        <w:rPr>
          <w:rFonts w:ascii="Verdana" w:hAnsi="Verdana"/>
          <w:i/>
          <w:sz w:val="18"/>
          <w:szCs w:val="18"/>
        </w:rPr>
        <w:t>ello</w:t>
      </w:r>
      <w:proofErr w:type="gramEnd"/>
      <w:r w:rsidRPr="001D2476">
        <w:rPr>
          <w:rFonts w:ascii="Verdana" w:hAnsi="Verdana"/>
          <w:i/>
          <w:sz w:val="18"/>
          <w:szCs w:val="18"/>
        </w:rPr>
        <w:t xml:space="preserve"> no obstante, que un acto válido subordine el nacimiento de su efecto a hechos exteriores e independientes, de acaecimiento futuro; o que la ley exija eventualidades de ese mismo tipo, antes de que el </w:t>
      </w:r>
      <w:r w:rsidRPr="001D2476">
        <w:rPr>
          <w:rFonts w:ascii="Verdana" w:hAnsi="Verdana"/>
          <w:i/>
          <w:sz w:val="18"/>
          <w:szCs w:val="18"/>
        </w:rPr>
        <w:lastRenderedPageBreak/>
        <w:t xml:space="preserve">acto produzca su efecto normal. En tal caso, el acto válido no es todavía eficaz, mientras el hecho futuro no se realice; y puede no llegar a serlo nunca, si ese hecho no se realiza…”. Eduardo Ortiz. Tesis de Derecho Administrativo. Tomo II.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SEXTO: </w:t>
      </w:r>
      <w:r w:rsidRPr="001D2476">
        <w:rPr>
          <w:rFonts w:ascii="Verdana" w:hAnsi="Verdana"/>
          <w:i/>
          <w:sz w:val="18"/>
          <w:szCs w:val="18"/>
        </w:rPr>
        <w:t xml:space="preserve">Que en virtud de lo expuesto y por tratarse el procedimiento de renovación y refrendo de un acto complejo, en el sentido de que está compuesto por una serie de etapas antes de alcanzar su perfección, a saber: primero se debe de dictar un acto administrativo por parte del concedente (CTP), en el que se manifieste la voluntad de renovar la concesión, segundo: elaboración y formalización de las condiciones y derechos otorgados al amparo del acto administrativo (firma de contrato) tercero: realización de los estudios correspondientes que demuestren la realidad del esquema operativo actual y necesario (“normalización de demanda”), el cual deberá estar estrechamente vinculado con las condiciones establecidas en el precitado contrato, por último y cuarto paso la compilación de todos los documentos exigidos en este caso por la ARESEP.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SÉTIMO: </w:t>
      </w:r>
      <w:r w:rsidRPr="001D2476">
        <w:rPr>
          <w:rFonts w:ascii="Verdana" w:hAnsi="Verdana"/>
          <w:i/>
          <w:sz w:val="18"/>
          <w:szCs w:val="18"/>
        </w:rPr>
        <w:t xml:space="preserve">Que el Consejo de Transporte Público, es conocedor de que a todos los operadores de servicio público modalidad ruta regular a los cuales se les otorgó derechos subjetivos de renovación de concesión para el periodo comprendido entre el 30 de setiembre de 2014 y hasta el 30 de setiembre de 2021, necesitan haber completado las etapas antes descritas hasta obtener el refrendo de sus contratos.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OCTAVO: </w:t>
      </w:r>
      <w:r w:rsidRPr="001D2476">
        <w:rPr>
          <w:rFonts w:ascii="Verdana" w:hAnsi="Verdana"/>
          <w:i/>
          <w:sz w:val="18"/>
          <w:szCs w:val="18"/>
        </w:rPr>
        <w:t xml:space="preserve">Que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en las cuales se revisan el 100% de los costos e ingresos (inversión). </w:t>
      </w:r>
    </w:p>
    <w:p w:rsidR="001D0954" w:rsidRPr="001D2476" w:rsidRDefault="001D0954" w:rsidP="001D0954">
      <w:pPr>
        <w:pStyle w:val="Default"/>
        <w:ind w:left="397"/>
        <w:jc w:val="both"/>
        <w:rPr>
          <w:rFonts w:ascii="Verdana" w:hAnsi="Verdana"/>
          <w:i/>
          <w:sz w:val="18"/>
          <w:szCs w:val="18"/>
        </w:rPr>
      </w:pPr>
      <w:r w:rsidRPr="001D2476">
        <w:rPr>
          <w:rFonts w:ascii="Verdana" w:hAnsi="Verdana"/>
          <w:b/>
          <w:bCs/>
          <w:i/>
          <w:sz w:val="18"/>
          <w:szCs w:val="18"/>
        </w:rPr>
        <w:t xml:space="preserve">NOVENO: </w:t>
      </w:r>
      <w:r w:rsidRPr="001D2476">
        <w:rPr>
          <w:rFonts w:ascii="Verdana" w:hAnsi="Verdana"/>
          <w:i/>
          <w:sz w:val="18"/>
          <w:szCs w:val="18"/>
        </w:rPr>
        <w:t>Que el esquema operativo con el cual se renovó las concesiones para el periodo 2014- 2021, es el mismo con el que estos operadores venían brindando el servicio entre el periodo 2007 2014, pues con el acto de renovación lo que se autorizó fue la continuidad del servicio concesionado (título habilitante), mismo que se mantienen vigente hasta tanto se cuente con el estudio técnico correspondiente (“normalización de demanda”) para refrendo.</w:t>
      </w:r>
    </w:p>
    <w:p w:rsidR="001D0954" w:rsidRPr="001D2476" w:rsidRDefault="001D0954" w:rsidP="001D0954">
      <w:pPr>
        <w:pStyle w:val="Default"/>
        <w:ind w:left="397"/>
        <w:jc w:val="both"/>
        <w:rPr>
          <w:rFonts w:ascii="Verdana" w:hAnsi="Verdana"/>
          <w:b/>
          <w:bCs/>
          <w:i/>
          <w:sz w:val="18"/>
          <w:szCs w:val="18"/>
        </w:rPr>
      </w:pPr>
      <w:r w:rsidRPr="001D2476">
        <w:rPr>
          <w:rFonts w:ascii="Verdana" w:hAnsi="Verdana"/>
          <w:b/>
          <w:bCs/>
          <w:i/>
          <w:sz w:val="18"/>
          <w:szCs w:val="18"/>
        </w:rPr>
        <w:t xml:space="preserve">DÉCIMO: </w:t>
      </w:r>
      <w:r w:rsidRPr="001D2476">
        <w:rPr>
          <w:rFonts w:ascii="Verdana" w:hAnsi="Verdana"/>
          <w:i/>
          <w:sz w:val="18"/>
          <w:szCs w:val="18"/>
        </w:rPr>
        <w:t>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w:t>
      </w:r>
    </w:p>
    <w:p w:rsidR="001D0954" w:rsidRDefault="001D0954" w:rsidP="001D0954">
      <w:pPr>
        <w:pStyle w:val="Default"/>
        <w:ind w:left="397"/>
        <w:jc w:val="both"/>
        <w:rPr>
          <w:rFonts w:ascii="Verdana" w:hAnsi="Verdana"/>
          <w:b/>
          <w:bCs/>
          <w:i/>
          <w:sz w:val="18"/>
          <w:szCs w:val="18"/>
        </w:rPr>
      </w:pPr>
    </w:p>
    <w:p w:rsidR="001D0954" w:rsidRDefault="001D0954" w:rsidP="001D0954">
      <w:pPr>
        <w:pStyle w:val="Default"/>
        <w:ind w:left="397"/>
        <w:jc w:val="both"/>
        <w:rPr>
          <w:rFonts w:ascii="Verdana" w:hAnsi="Verdana"/>
          <w:b/>
          <w:bCs/>
          <w:i/>
          <w:sz w:val="18"/>
          <w:szCs w:val="18"/>
        </w:rPr>
      </w:pPr>
      <w:r w:rsidRPr="003931E8">
        <w:rPr>
          <w:rFonts w:ascii="Verdana" w:hAnsi="Verdana"/>
          <w:b/>
          <w:bCs/>
          <w:i/>
          <w:sz w:val="18"/>
          <w:szCs w:val="18"/>
        </w:rPr>
        <w:t xml:space="preserve">POR TANTO, SE ACUERDA: </w:t>
      </w:r>
    </w:p>
    <w:p w:rsidR="001D0954" w:rsidRPr="003931E8" w:rsidRDefault="001D0954" w:rsidP="001D0954">
      <w:pPr>
        <w:pStyle w:val="Default"/>
        <w:ind w:left="397"/>
        <w:jc w:val="both"/>
        <w:rPr>
          <w:rFonts w:ascii="Verdana" w:hAnsi="Verdana"/>
          <w:i/>
          <w:sz w:val="18"/>
          <w:szCs w:val="18"/>
        </w:rPr>
      </w:pPr>
    </w:p>
    <w:p w:rsidR="001D0954" w:rsidRPr="003931E8" w:rsidRDefault="001D0954" w:rsidP="001D0954">
      <w:pPr>
        <w:pStyle w:val="Default"/>
        <w:spacing w:after="18"/>
        <w:ind w:left="397"/>
        <w:jc w:val="both"/>
        <w:rPr>
          <w:rFonts w:ascii="Verdana" w:hAnsi="Verdana"/>
          <w:i/>
          <w:sz w:val="18"/>
          <w:szCs w:val="18"/>
        </w:rPr>
      </w:pPr>
      <w:r w:rsidRPr="003931E8">
        <w:rPr>
          <w:rFonts w:ascii="Verdana" w:hAnsi="Verdana"/>
          <w:i/>
          <w:sz w:val="18"/>
          <w:szCs w:val="18"/>
        </w:rPr>
        <w:t xml:space="preserve">1. Aprobar, basados en los fundamentos, motivos y contenidos desarrollados en los considerandos del oficio </w:t>
      </w:r>
      <w:r w:rsidRPr="003931E8">
        <w:rPr>
          <w:rFonts w:ascii="Verdana" w:hAnsi="Verdana"/>
          <w:b/>
          <w:bCs/>
          <w:i/>
          <w:sz w:val="18"/>
          <w:szCs w:val="18"/>
        </w:rPr>
        <w:t>DAJ-2015-001491</w:t>
      </w:r>
      <w:r w:rsidRPr="003931E8">
        <w:rPr>
          <w:rFonts w:ascii="Verdana" w:hAnsi="Verdana"/>
          <w:i/>
          <w:sz w:val="18"/>
          <w:szCs w:val="18"/>
        </w:rPr>
        <w:t xml:space="preserve">, todas las recomendaciones emitidas en el mismo, el cual forma parte integral de este acuerdo. </w:t>
      </w:r>
    </w:p>
    <w:p w:rsidR="001D0954" w:rsidRPr="003931E8" w:rsidRDefault="001D0954" w:rsidP="001D0954">
      <w:pPr>
        <w:pStyle w:val="Default"/>
        <w:spacing w:after="18"/>
        <w:ind w:left="397"/>
        <w:jc w:val="both"/>
        <w:rPr>
          <w:rFonts w:ascii="Verdana" w:hAnsi="Verdana"/>
          <w:i/>
          <w:sz w:val="18"/>
          <w:szCs w:val="18"/>
        </w:rPr>
      </w:pPr>
      <w:r w:rsidRPr="003931E8">
        <w:rPr>
          <w:rFonts w:ascii="Verdana" w:hAnsi="Verdana"/>
          <w:i/>
          <w:sz w:val="18"/>
          <w:szCs w:val="18"/>
        </w:rPr>
        <w:t xml:space="preserve">2. Establecer, al amparo del inciso b) del artículo 25 de la Ley 3503, como condición EXCEPCIONAL y TRANSITORIA, la asignación de la condición de PERMISIONARIO, a todos los operadores </w:t>
      </w:r>
      <w:proofErr w:type="gramStart"/>
      <w:r w:rsidRPr="003931E8">
        <w:rPr>
          <w:rFonts w:ascii="Verdana" w:hAnsi="Verdana"/>
          <w:i/>
          <w:sz w:val="18"/>
          <w:szCs w:val="18"/>
        </w:rPr>
        <w:t>que</w:t>
      </w:r>
      <w:proofErr w:type="gramEnd"/>
      <w:r w:rsidRPr="003931E8">
        <w:rPr>
          <w:rFonts w:ascii="Verdana" w:hAnsi="Verdana"/>
          <w:i/>
          <w:sz w:val="18"/>
          <w:szCs w:val="18"/>
        </w:rPr>
        <w:t xml:space="preserve"> mediante acto administrativo válido en firme por parte de este Consejo, ostentan un derecho subjetivo de renovación de concesión. </w:t>
      </w:r>
    </w:p>
    <w:p w:rsidR="001D0954" w:rsidRPr="003931E8" w:rsidRDefault="001D0954" w:rsidP="001D0954">
      <w:pPr>
        <w:pStyle w:val="Default"/>
        <w:spacing w:after="18"/>
        <w:ind w:left="397"/>
        <w:jc w:val="both"/>
        <w:rPr>
          <w:rFonts w:ascii="Verdana" w:hAnsi="Verdana"/>
          <w:i/>
          <w:sz w:val="18"/>
          <w:szCs w:val="18"/>
        </w:rPr>
      </w:pPr>
      <w:r w:rsidRPr="003931E8">
        <w:rPr>
          <w:rFonts w:ascii="Verdana" w:hAnsi="Verdana"/>
          <w:i/>
          <w:sz w:val="18"/>
          <w:szCs w:val="18"/>
        </w:rPr>
        <w:lastRenderedPageBreak/>
        <w:t xml:space="preserve">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 </w:t>
      </w:r>
    </w:p>
    <w:p w:rsidR="001D0954" w:rsidRPr="003931E8" w:rsidRDefault="001D0954" w:rsidP="001D0954">
      <w:pPr>
        <w:pStyle w:val="Default"/>
        <w:spacing w:after="18"/>
        <w:ind w:left="397"/>
        <w:jc w:val="both"/>
        <w:rPr>
          <w:rFonts w:ascii="Verdana" w:hAnsi="Verdana"/>
          <w:i/>
          <w:sz w:val="18"/>
          <w:szCs w:val="18"/>
        </w:rPr>
      </w:pPr>
      <w:r w:rsidRPr="003931E8">
        <w:rPr>
          <w:rFonts w:ascii="Verdana" w:hAnsi="Verdana"/>
          <w:i/>
          <w:sz w:val="18"/>
          <w:szCs w:val="18"/>
        </w:rPr>
        <w:t xml:space="preserve">4. Que la condición de PERMISIONARIO temporal y extraordinariamente a los OPERADORES fenecerá en el mismo momento en que cada OPERADOR individual obtenga el refrendo de su contrato de concesión. </w:t>
      </w:r>
    </w:p>
    <w:p w:rsidR="001D0954" w:rsidRPr="003931E8" w:rsidRDefault="001D0954" w:rsidP="001D0954">
      <w:pPr>
        <w:pStyle w:val="Default"/>
        <w:spacing w:after="18"/>
        <w:ind w:left="397"/>
        <w:jc w:val="both"/>
        <w:rPr>
          <w:rFonts w:ascii="Verdana" w:hAnsi="Verdana"/>
          <w:i/>
          <w:sz w:val="18"/>
          <w:szCs w:val="18"/>
        </w:rPr>
      </w:pPr>
      <w:r w:rsidRPr="003931E8">
        <w:rPr>
          <w:rFonts w:ascii="Verdana" w:hAnsi="Verdana"/>
          <w:i/>
          <w:sz w:val="18"/>
          <w:szCs w:val="18"/>
        </w:rPr>
        <w:t xml:space="preserve">5. Instrúyase a la Dirección Ejecutiva, para que, una vez en firme el presente acuerdo, proceda a coordinar con la ARESEP, el envío de la información desglosada de todos y cada uno de los concesionarios que se encuentran dentro del proceso de refrendo de contrato, o en su defecto proceda a indicar a la ARESEP, el oficio de actualización generado y enviado para que el presente acuerdo alcance su fin. </w:t>
      </w:r>
    </w:p>
    <w:p w:rsidR="001D0954" w:rsidRPr="003931E8" w:rsidRDefault="001D0954" w:rsidP="001D0954">
      <w:pPr>
        <w:pStyle w:val="Default"/>
        <w:spacing w:after="18"/>
        <w:ind w:left="397"/>
        <w:jc w:val="both"/>
        <w:rPr>
          <w:rFonts w:ascii="Verdana" w:hAnsi="Verdana"/>
          <w:i/>
          <w:sz w:val="18"/>
          <w:szCs w:val="18"/>
        </w:rPr>
      </w:pPr>
      <w:r w:rsidRPr="003931E8">
        <w:rPr>
          <w:rFonts w:ascii="Verdana" w:hAnsi="Verdana"/>
          <w:i/>
          <w:sz w:val="18"/>
          <w:szCs w:val="18"/>
        </w:rPr>
        <w:t xml:space="preserve">6. Notifíquese: Dirección Ejecutiva al correo mfallas@ctp.go.cr / ARESEP </w:t>
      </w:r>
    </w:p>
    <w:p w:rsidR="001D0954" w:rsidRPr="003931E8" w:rsidRDefault="001D0954" w:rsidP="001D0954">
      <w:pPr>
        <w:pStyle w:val="Default"/>
        <w:ind w:left="397"/>
        <w:jc w:val="both"/>
        <w:rPr>
          <w:rFonts w:ascii="Verdana" w:hAnsi="Verdana"/>
          <w:i/>
          <w:sz w:val="18"/>
          <w:szCs w:val="18"/>
        </w:rPr>
      </w:pPr>
      <w:r w:rsidRPr="003931E8">
        <w:rPr>
          <w:rFonts w:ascii="Verdana" w:hAnsi="Verdana"/>
          <w:i/>
          <w:sz w:val="18"/>
          <w:szCs w:val="18"/>
        </w:rPr>
        <w:t xml:space="preserve">7. </w:t>
      </w:r>
      <w:r w:rsidRPr="003931E8">
        <w:rPr>
          <w:rFonts w:ascii="Verdana" w:hAnsi="Verdana"/>
          <w:b/>
          <w:bCs/>
          <w:i/>
          <w:sz w:val="18"/>
          <w:szCs w:val="18"/>
        </w:rPr>
        <w:t xml:space="preserve">Se declara firme” </w:t>
      </w:r>
    </w:p>
    <w:p w:rsidR="001D0954" w:rsidRDefault="001D0954" w:rsidP="0054792D">
      <w:pPr>
        <w:pStyle w:val="Textoindependiente2"/>
        <w:ind w:right="51"/>
        <w:rPr>
          <w:rFonts w:ascii="Verdana" w:hAnsi="Verdana"/>
          <w:b/>
          <w:sz w:val="22"/>
          <w:szCs w:val="22"/>
        </w:rPr>
      </w:pPr>
    </w:p>
    <w:p w:rsidR="001D0954" w:rsidRPr="00FE618D" w:rsidRDefault="001D0954" w:rsidP="001D0954">
      <w:pPr>
        <w:pStyle w:val="Textoindependiente2"/>
        <w:ind w:left="-187" w:right="51"/>
        <w:rPr>
          <w:rFonts w:ascii="Verdana" w:hAnsi="Verdana"/>
          <w:sz w:val="22"/>
          <w:szCs w:val="22"/>
        </w:rPr>
      </w:pPr>
      <w:r>
        <w:rPr>
          <w:rFonts w:ascii="Verdana" w:hAnsi="Verdana"/>
          <w:b/>
          <w:sz w:val="22"/>
          <w:szCs w:val="22"/>
        </w:rPr>
        <w:t xml:space="preserve">SEGUNDO: </w:t>
      </w:r>
      <w:r w:rsidRPr="00FE618D">
        <w:rPr>
          <w:rFonts w:ascii="Verdana" w:hAnsi="Verdana"/>
          <w:sz w:val="22"/>
          <w:szCs w:val="22"/>
        </w:rPr>
        <w:t>La empresa</w:t>
      </w:r>
      <w:r>
        <w:rPr>
          <w:rFonts w:ascii="Verdana" w:hAnsi="Verdana"/>
          <w:b/>
          <w:sz w:val="22"/>
          <w:szCs w:val="22"/>
        </w:rPr>
        <w:t xml:space="preserve"> </w:t>
      </w:r>
      <w:r w:rsidR="00805F41">
        <w:rPr>
          <w:rFonts w:ascii="Verdana" w:hAnsi="Verdana"/>
          <w:b/>
          <w:sz w:val="22"/>
          <w:szCs w:val="22"/>
        </w:rPr>
        <w:t>D.S.R.</w:t>
      </w:r>
      <w:r w:rsidR="0054792D">
        <w:rPr>
          <w:rFonts w:ascii="Verdana" w:hAnsi="Verdana"/>
          <w:b/>
          <w:sz w:val="22"/>
          <w:szCs w:val="22"/>
        </w:rPr>
        <w:t xml:space="preserve">, </w:t>
      </w:r>
      <w:r w:rsidR="0054792D">
        <w:rPr>
          <w:rFonts w:ascii="Verdana" w:hAnsi="Verdana"/>
          <w:sz w:val="22"/>
          <w:szCs w:val="22"/>
        </w:rPr>
        <w:t>presenta</w:t>
      </w:r>
      <w:r>
        <w:rPr>
          <w:rFonts w:ascii="Verdana" w:hAnsi="Verdana"/>
          <w:sz w:val="22"/>
          <w:szCs w:val="22"/>
        </w:rPr>
        <w:t xml:space="preserve"> Recurso de Apelación en Subsidio y Nulidad concomitante,</w:t>
      </w:r>
      <w:r w:rsidR="006269CA">
        <w:rPr>
          <w:rFonts w:ascii="Verdana" w:hAnsi="Verdana"/>
          <w:sz w:val="22"/>
          <w:szCs w:val="22"/>
        </w:rPr>
        <w:t xml:space="preserve"> y ampliación del recurso</w:t>
      </w:r>
      <w:r w:rsidR="0054792D">
        <w:rPr>
          <w:rFonts w:ascii="Verdana" w:hAnsi="Verdana"/>
          <w:sz w:val="22"/>
          <w:szCs w:val="22"/>
        </w:rPr>
        <w:t xml:space="preserve"> indicando en lo</w:t>
      </w:r>
      <w:r>
        <w:rPr>
          <w:rFonts w:ascii="Verdana" w:hAnsi="Verdana"/>
          <w:sz w:val="22"/>
          <w:szCs w:val="22"/>
        </w:rPr>
        <w:t xml:space="preserve"> conducente lo siguiente: (Léanse folios del 9 al </w:t>
      </w:r>
      <w:r w:rsidR="006269CA">
        <w:rPr>
          <w:rFonts w:ascii="Verdana" w:hAnsi="Verdana"/>
          <w:sz w:val="22"/>
          <w:szCs w:val="22"/>
        </w:rPr>
        <w:t xml:space="preserve">13 y del </w:t>
      </w:r>
      <w:r w:rsidR="00C27AED">
        <w:rPr>
          <w:rFonts w:ascii="Verdana" w:hAnsi="Verdana"/>
          <w:sz w:val="22"/>
          <w:szCs w:val="22"/>
        </w:rPr>
        <w:t>16 al 27</w:t>
      </w:r>
      <w:r>
        <w:rPr>
          <w:rFonts w:ascii="Verdana" w:hAnsi="Verdana"/>
          <w:sz w:val="22"/>
          <w:szCs w:val="22"/>
        </w:rPr>
        <w:t xml:space="preserve"> del expediente administrativo.)</w:t>
      </w:r>
    </w:p>
    <w:p w:rsidR="001D0954" w:rsidRDefault="001D0954" w:rsidP="001D0954">
      <w:pPr>
        <w:pStyle w:val="Textoindependiente2"/>
        <w:rPr>
          <w:rFonts w:ascii="Verdana" w:hAnsi="Verdana"/>
          <w:b/>
          <w:sz w:val="22"/>
          <w:szCs w:val="22"/>
        </w:rPr>
      </w:pPr>
    </w:p>
    <w:p w:rsidR="001D0954" w:rsidRPr="00A32B40" w:rsidRDefault="00DD7453" w:rsidP="001D0954">
      <w:pPr>
        <w:pStyle w:val="Textoindependiente2"/>
        <w:numPr>
          <w:ilvl w:val="0"/>
          <w:numId w:val="1"/>
        </w:numPr>
        <w:ind w:left="0"/>
        <w:rPr>
          <w:rFonts w:ascii="Verdana" w:hAnsi="Verdana"/>
          <w:b/>
          <w:sz w:val="22"/>
          <w:szCs w:val="22"/>
        </w:rPr>
      </w:pPr>
      <w:r w:rsidRPr="00DD7453">
        <w:rPr>
          <w:rFonts w:ascii="Verdana" w:hAnsi="Verdana"/>
          <w:sz w:val="22"/>
          <w:szCs w:val="22"/>
        </w:rPr>
        <w:t>Se ha dado una violación a</w:t>
      </w:r>
      <w:r>
        <w:rPr>
          <w:rFonts w:ascii="Verdana" w:hAnsi="Verdana"/>
          <w:sz w:val="22"/>
          <w:szCs w:val="22"/>
        </w:rPr>
        <w:t xml:space="preserve"> la garantía constitucional del debido proceso dado que sin audiencia ni procedimiento se les cambia su condición de concesionarios a permisionarios lo cual es improcedente</w:t>
      </w:r>
      <w:r w:rsidR="001D0954">
        <w:rPr>
          <w:rFonts w:ascii="Verdana" w:hAnsi="Verdana"/>
          <w:sz w:val="22"/>
          <w:szCs w:val="22"/>
        </w:rPr>
        <w:t>.</w:t>
      </w:r>
      <w:r w:rsidR="00C12C09">
        <w:rPr>
          <w:rFonts w:ascii="Verdana" w:hAnsi="Verdana"/>
          <w:sz w:val="22"/>
          <w:szCs w:val="22"/>
        </w:rPr>
        <w:t xml:space="preserve">  </w:t>
      </w:r>
      <w:r w:rsidR="0054792D">
        <w:rPr>
          <w:rFonts w:ascii="Verdana" w:hAnsi="Verdana"/>
          <w:sz w:val="22"/>
          <w:szCs w:val="22"/>
        </w:rPr>
        <w:t>Además,</w:t>
      </w:r>
      <w:r w:rsidR="00C12C09">
        <w:rPr>
          <w:rFonts w:ascii="Verdana" w:hAnsi="Verdana"/>
          <w:sz w:val="22"/>
          <w:szCs w:val="22"/>
        </w:rPr>
        <w:t xml:space="preserve"> nunca se les notificó el acto </w:t>
      </w:r>
      <w:r w:rsidR="0054792D">
        <w:rPr>
          <w:rFonts w:ascii="Verdana" w:hAnsi="Verdana"/>
          <w:sz w:val="22"/>
          <w:szCs w:val="22"/>
        </w:rPr>
        <w:t>impugnado,</w:t>
      </w:r>
      <w:r w:rsidR="00C12C09">
        <w:rPr>
          <w:rFonts w:ascii="Verdana" w:hAnsi="Verdana"/>
          <w:sz w:val="22"/>
          <w:szCs w:val="22"/>
        </w:rPr>
        <w:t xml:space="preserve"> sino que se enteraron por publicación de ajuste </w:t>
      </w:r>
      <w:r w:rsidR="0054792D">
        <w:rPr>
          <w:rFonts w:ascii="Verdana" w:hAnsi="Verdana"/>
          <w:sz w:val="22"/>
          <w:szCs w:val="22"/>
        </w:rPr>
        <w:t>tarifario que</w:t>
      </w:r>
      <w:r w:rsidR="00C12C09">
        <w:rPr>
          <w:rFonts w:ascii="Verdana" w:hAnsi="Verdana"/>
          <w:sz w:val="22"/>
          <w:szCs w:val="22"/>
        </w:rPr>
        <w:t xml:space="preserve"> </w:t>
      </w:r>
      <w:r w:rsidR="0019514F">
        <w:rPr>
          <w:rFonts w:ascii="Verdana" w:hAnsi="Verdana"/>
          <w:sz w:val="22"/>
          <w:szCs w:val="22"/>
        </w:rPr>
        <w:t>hiciera</w:t>
      </w:r>
      <w:r w:rsidR="00C12C09">
        <w:rPr>
          <w:rFonts w:ascii="Verdana" w:hAnsi="Verdana"/>
          <w:sz w:val="22"/>
          <w:szCs w:val="22"/>
        </w:rPr>
        <w:t xml:space="preserve"> la </w:t>
      </w:r>
      <w:r w:rsidR="0019514F">
        <w:rPr>
          <w:rFonts w:ascii="Verdana" w:hAnsi="Verdana"/>
          <w:sz w:val="22"/>
          <w:szCs w:val="22"/>
        </w:rPr>
        <w:t>ARESEP</w:t>
      </w:r>
      <w:r w:rsidR="00C12C09">
        <w:rPr>
          <w:rFonts w:ascii="Verdana" w:hAnsi="Verdana"/>
          <w:sz w:val="22"/>
          <w:szCs w:val="22"/>
        </w:rPr>
        <w:t xml:space="preserve"> en la Gaceta del 14 de mayo de 2015</w:t>
      </w:r>
      <w:r w:rsidR="0019514F">
        <w:rPr>
          <w:rFonts w:ascii="Verdana" w:hAnsi="Verdana"/>
          <w:sz w:val="22"/>
          <w:szCs w:val="22"/>
        </w:rPr>
        <w:t>.</w:t>
      </w:r>
    </w:p>
    <w:p w:rsidR="001D0954" w:rsidRDefault="00480E76" w:rsidP="001D0954">
      <w:pPr>
        <w:pStyle w:val="Textoindependiente2"/>
        <w:numPr>
          <w:ilvl w:val="0"/>
          <w:numId w:val="1"/>
        </w:numPr>
        <w:ind w:left="0"/>
        <w:rPr>
          <w:rFonts w:ascii="Verdana" w:hAnsi="Verdana"/>
          <w:sz w:val="22"/>
          <w:szCs w:val="22"/>
        </w:rPr>
      </w:pPr>
      <w:r>
        <w:rPr>
          <w:rFonts w:ascii="Verdana" w:hAnsi="Verdana"/>
          <w:sz w:val="22"/>
          <w:szCs w:val="22"/>
        </w:rPr>
        <w:t xml:space="preserve">El acto impugnado está viciado de Nulidad </w:t>
      </w:r>
      <w:r w:rsidR="0054792D">
        <w:rPr>
          <w:rFonts w:ascii="Verdana" w:hAnsi="Verdana"/>
          <w:sz w:val="22"/>
          <w:szCs w:val="22"/>
        </w:rPr>
        <w:t>pues es</w:t>
      </w:r>
      <w:r>
        <w:rPr>
          <w:rFonts w:ascii="Verdana" w:hAnsi="Verdana"/>
          <w:sz w:val="22"/>
          <w:szCs w:val="22"/>
        </w:rPr>
        <w:t xml:space="preserve"> contrario al Ordenamiento Jurídico escrito y no escrito, pues les cambia su condición jurídica de concesionarios a simples permisionario con la única razón de realizar un ajuste tarifario, pero nunca siguió los procedimientos establecidos para decretar una nulidad como </w:t>
      </w:r>
      <w:r w:rsidR="0054792D">
        <w:rPr>
          <w:rFonts w:ascii="Verdana" w:hAnsi="Verdana"/>
          <w:sz w:val="22"/>
          <w:szCs w:val="22"/>
        </w:rPr>
        <w:t>sería</w:t>
      </w:r>
      <w:r>
        <w:rPr>
          <w:rFonts w:ascii="Verdana" w:hAnsi="Verdana"/>
          <w:sz w:val="22"/>
          <w:szCs w:val="22"/>
        </w:rPr>
        <w:t xml:space="preserve"> el proceso Contencioso de Lesividad, más tratándose de derechos fundamentales que son rese</w:t>
      </w:r>
      <w:r w:rsidR="002C55FD">
        <w:rPr>
          <w:rFonts w:ascii="Verdana" w:hAnsi="Verdana"/>
          <w:sz w:val="22"/>
          <w:szCs w:val="22"/>
        </w:rPr>
        <w:t>rva de Ley.</w:t>
      </w:r>
    </w:p>
    <w:p w:rsidR="001D0954" w:rsidRDefault="002C55FD" w:rsidP="001D0954">
      <w:pPr>
        <w:pStyle w:val="Textoindependiente2"/>
        <w:numPr>
          <w:ilvl w:val="0"/>
          <w:numId w:val="1"/>
        </w:numPr>
        <w:ind w:left="0"/>
        <w:rPr>
          <w:rFonts w:ascii="Verdana" w:hAnsi="Verdana"/>
          <w:sz w:val="22"/>
          <w:szCs w:val="22"/>
        </w:rPr>
      </w:pPr>
      <w:r>
        <w:rPr>
          <w:rFonts w:ascii="Verdana" w:hAnsi="Verdana"/>
          <w:sz w:val="22"/>
          <w:szCs w:val="22"/>
        </w:rPr>
        <w:t>Se violentan los principios de Razonabilidad y Proporcionalidad</w:t>
      </w:r>
      <w:r w:rsidR="00213DC2">
        <w:rPr>
          <w:rFonts w:ascii="Verdana" w:hAnsi="Verdana"/>
          <w:sz w:val="22"/>
          <w:szCs w:val="22"/>
        </w:rPr>
        <w:t xml:space="preserve">, pues con los razonamientos con que fundamenta el acto impugnado realiza un traslado de </w:t>
      </w:r>
      <w:r w:rsidR="00E54BEC">
        <w:rPr>
          <w:rFonts w:ascii="Verdana" w:hAnsi="Verdana"/>
          <w:sz w:val="22"/>
          <w:szCs w:val="22"/>
        </w:rPr>
        <w:t xml:space="preserve">competencias y responsabilidades en perjuicio de los empresarios y los administrados.  La incapacidad económica y material que posee el CTP para preparar los informes o estudios para el refrendo de ARESEP de cada </w:t>
      </w:r>
      <w:r w:rsidR="0054792D">
        <w:rPr>
          <w:rFonts w:ascii="Verdana" w:hAnsi="Verdana"/>
          <w:sz w:val="22"/>
          <w:szCs w:val="22"/>
        </w:rPr>
        <w:t>empresa, no</w:t>
      </w:r>
      <w:r w:rsidR="00E54BEC">
        <w:rPr>
          <w:rFonts w:ascii="Verdana" w:hAnsi="Verdana"/>
          <w:sz w:val="22"/>
          <w:szCs w:val="22"/>
        </w:rPr>
        <w:t xml:space="preserve"> es fundamento para desconocer la condición de concesionarios y rebajarlos a nivel de permisionarios con derechos precarios</w:t>
      </w:r>
      <w:r w:rsidR="00DC2FC3">
        <w:rPr>
          <w:rFonts w:ascii="Verdana" w:hAnsi="Verdana"/>
          <w:sz w:val="22"/>
          <w:szCs w:val="22"/>
        </w:rPr>
        <w:t xml:space="preserve"> y realizar los estudios es un deber de la Administración dado por Ley y no de los </w:t>
      </w:r>
      <w:r w:rsidR="0054792D">
        <w:rPr>
          <w:rFonts w:ascii="Verdana" w:hAnsi="Verdana"/>
          <w:sz w:val="22"/>
          <w:szCs w:val="22"/>
        </w:rPr>
        <w:t>concesionarios; no</w:t>
      </w:r>
      <w:r w:rsidR="001B7838">
        <w:rPr>
          <w:rFonts w:ascii="Verdana" w:hAnsi="Verdana"/>
          <w:sz w:val="22"/>
          <w:szCs w:val="22"/>
        </w:rPr>
        <w:t xml:space="preserve"> se pueden rebajar y afectar los derechos subjetivos sin seguir con los procedimientos dispuestos en la Ley</w:t>
      </w:r>
      <w:r w:rsidR="001D0954">
        <w:rPr>
          <w:rFonts w:ascii="Verdana" w:hAnsi="Verdana"/>
          <w:sz w:val="22"/>
          <w:szCs w:val="22"/>
        </w:rPr>
        <w:t>.</w:t>
      </w:r>
    </w:p>
    <w:p w:rsidR="001D0954" w:rsidRDefault="00832DCC" w:rsidP="001D0954">
      <w:pPr>
        <w:pStyle w:val="Textoindependiente2"/>
        <w:numPr>
          <w:ilvl w:val="0"/>
          <w:numId w:val="1"/>
        </w:numPr>
        <w:ind w:left="0"/>
        <w:rPr>
          <w:rFonts w:ascii="Verdana" w:hAnsi="Verdana"/>
          <w:sz w:val="22"/>
          <w:szCs w:val="22"/>
        </w:rPr>
      </w:pPr>
      <w:r>
        <w:rPr>
          <w:rFonts w:ascii="Verdana" w:hAnsi="Verdana"/>
          <w:sz w:val="22"/>
          <w:szCs w:val="22"/>
        </w:rPr>
        <w:t>No existe ninguna amenaza y por lo tanto no tiene sustento el argumento de la protección a la continuidad del servicio dado que eso siempre ha sido una obligación de los concesionario</w:t>
      </w:r>
      <w:r w:rsidR="00CD63A9">
        <w:rPr>
          <w:rFonts w:ascii="Verdana" w:hAnsi="Verdana"/>
          <w:sz w:val="22"/>
          <w:szCs w:val="22"/>
        </w:rPr>
        <w:t>s</w:t>
      </w:r>
      <w:r>
        <w:rPr>
          <w:rFonts w:ascii="Verdana" w:hAnsi="Verdana"/>
          <w:sz w:val="22"/>
          <w:szCs w:val="22"/>
        </w:rPr>
        <w:t xml:space="preserve"> y hasta la fecha no se ha dado noticia de que se hubiera suspendido servicio alguno</w:t>
      </w:r>
      <w:r w:rsidR="001D0954">
        <w:rPr>
          <w:rFonts w:ascii="Verdana" w:hAnsi="Verdana"/>
          <w:sz w:val="22"/>
          <w:szCs w:val="22"/>
        </w:rPr>
        <w:t>.</w:t>
      </w:r>
    </w:p>
    <w:p w:rsidR="001D0954" w:rsidRDefault="00CD63A9" w:rsidP="001D0954">
      <w:pPr>
        <w:pStyle w:val="Textoindependiente2"/>
        <w:numPr>
          <w:ilvl w:val="0"/>
          <w:numId w:val="1"/>
        </w:numPr>
        <w:ind w:left="0"/>
        <w:rPr>
          <w:rFonts w:ascii="Verdana" w:hAnsi="Verdana"/>
          <w:sz w:val="22"/>
          <w:szCs w:val="22"/>
        </w:rPr>
      </w:pPr>
      <w:r>
        <w:rPr>
          <w:rFonts w:ascii="Verdana" w:hAnsi="Verdana"/>
          <w:sz w:val="22"/>
          <w:szCs w:val="22"/>
        </w:rPr>
        <w:t xml:space="preserve">Los concesionarios realizan inversiones y mejoras precisamente por su condición de </w:t>
      </w:r>
      <w:r w:rsidR="0054792D">
        <w:rPr>
          <w:rFonts w:ascii="Verdana" w:hAnsi="Verdana"/>
          <w:sz w:val="22"/>
          <w:szCs w:val="22"/>
        </w:rPr>
        <w:t>tales, misma</w:t>
      </w:r>
      <w:r>
        <w:rPr>
          <w:rFonts w:ascii="Verdana" w:hAnsi="Verdana"/>
          <w:sz w:val="22"/>
          <w:szCs w:val="22"/>
        </w:rPr>
        <w:t xml:space="preserve"> que se adquiere con la firma del contrato como sucede en la </w:t>
      </w:r>
      <w:r>
        <w:rPr>
          <w:rFonts w:ascii="Verdana" w:hAnsi="Verdana"/>
          <w:sz w:val="22"/>
          <w:szCs w:val="22"/>
        </w:rPr>
        <w:lastRenderedPageBreak/>
        <w:t>especie, por lo que en condición de permisionario no se tiene el mismo soporte o respaldo para invertir</w:t>
      </w:r>
      <w:r w:rsidR="001D0954">
        <w:rPr>
          <w:rFonts w:ascii="Verdana" w:hAnsi="Verdana"/>
          <w:sz w:val="22"/>
          <w:szCs w:val="22"/>
        </w:rPr>
        <w:t>.</w:t>
      </w:r>
    </w:p>
    <w:p w:rsidR="001D0954" w:rsidRDefault="00386026" w:rsidP="001D0954">
      <w:pPr>
        <w:pStyle w:val="Textoindependiente2"/>
        <w:numPr>
          <w:ilvl w:val="0"/>
          <w:numId w:val="1"/>
        </w:numPr>
        <w:ind w:left="0"/>
        <w:rPr>
          <w:rFonts w:ascii="Verdana" w:hAnsi="Verdana"/>
          <w:sz w:val="22"/>
          <w:szCs w:val="22"/>
        </w:rPr>
      </w:pPr>
      <w:r>
        <w:rPr>
          <w:rFonts w:ascii="Verdana" w:hAnsi="Verdana"/>
          <w:sz w:val="22"/>
          <w:szCs w:val="22"/>
        </w:rPr>
        <w:t xml:space="preserve">El dictamen de </w:t>
      </w:r>
      <w:r w:rsidR="00A2035F">
        <w:rPr>
          <w:rFonts w:ascii="Verdana" w:hAnsi="Verdana"/>
          <w:sz w:val="22"/>
          <w:szCs w:val="22"/>
        </w:rPr>
        <w:t>la Procuraduría General de la República</w:t>
      </w:r>
      <w:r>
        <w:rPr>
          <w:rFonts w:ascii="Verdana" w:hAnsi="Verdana"/>
          <w:sz w:val="22"/>
          <w:szCs w:val="22"/>
        </w:rPr>
        <w:t xml:space="preserve">, se adhiere escandalosamente a la posición del Departamento Legal del </w:t>
      </w:r>
      <w:proofErr w:type="gramStart"/>
      <w:r>
        <w:rPr>
          <w:rFonts w:ascii="Verdana" w:hAnsi="Verdana"/>
          <w:sz w:val="22"/>
          <w:szCs w:val="22"/>
        </w:rPr>
        <w:t>CTP</w:t>
      </w:r>
      <w:proofErr w:type="gramEnd"/>
      <w:r>
        <w:rPr>
          <w:rFonts w:ascii="Verdana" w:hAnsi="Verdana"/>
          <w:sz w:val="22"/>
          <w:szCs w:val="22"/>
        </w:rPr>
        <w:t xml:space="preserve"> pero no es de aplicación en todo caso </w:t>
      </w:r>
      <w:r w:rsidR="0054792D">
        <w:rPr>
          <w:rFonts w:ascii="Verdana" w:hAnsi="Verdana"/>
          <w:sz w:val="22"/>
          <w:szCs w:val="22"/>
        </w:rPr>
        <w:t>porque</w:t>
      </w:r>
      <w:r>
        <w:rPr>
          <w:rFonts w:ascii="Verdana" w:hAnsi="Verdana"/>
          <w:sz w:val="22"/>
          <w:szCs w:val="22"/>
        </w:rPr>
        <w:t xml:space="preserve"> no se han demostrado que estuviera </w:t>
      </w:r>
      <w:r w:rsidR="00735232">
        <w:rPr>
          <w:rFonts w:ascii="Verdana" w:hAnsi="Verdana"/>
          <w:sz w:val="22"/>
          <w:szCs w:val="22"/>
        </w:rPr>
        <w:t>en peligro el interés público, pues el servicio se ha prestado con regularidad y eficiencia y hasta ha sido revisado y calificado por el Consejo de Transporte Público</w:t>
      </w:r>
      <w:r w:rsidR="00F941B7">
        <w:rPr>
          <w:rFonts w:ascii="Verdana" w:hAnsi="Verdana"/>
          <w:sz w:val="22"/>
          <w:szCs w:val="22"/>
        </w:rPr>
        <w:t>, por lo que resulta improcedente la medida</w:t>
      </w:r>
      <w:r w:rsidR="008D5B9D">
        <w:rPr>
          <w:rFonts w:ascii="Verdana" w:hAnsi="Verdana"/>
          <w:sz w:val="22"/>
          <w:szCs w:val="22"/>
        </w:rPr>
        <w:t xml:space="preserve"> cautelar por oportunidad y Legalidad</w:t>
      </w:r>
      <w:r w:rsidR="001D0954">
        <w:rPr>
          <w:rFonts w:ascii="Verdana" w:hAnsi="Verdana"/>
          <w:sz w:val="22"/>
          <w:szCs w:val="22"/>
        </w:rPr>
        <w:t>.</w:t>
      </w:r>
    </w:p>
    <w:p w:rsidR="001D0954" w:rsidRDefault="008D5B9D" w:rsidP="001D0954">
      <w:pPr>
        <w:pStyle w:val="Textoindependiente2"/>
        <w:numPr>
          <w:ilvl w:val="0"/>
          <w:numId w:val="1"/>
        </w:numPr>
        <w:ind w:left="0"/>
        <w:rPr>
          <w:rFonts w:ascii="Verdana" w:hAnsi="Verdana"/>
          <w:sz w:val="22"/>
          <w:szCs w:val="22"/>
        </w:rPr>
      </w:pPr>
      <w:r>
        <w:rPr>
          <w:rFonts w:ascii="Verdana" w:hAnsi="Verdana"/>
          <w:sz w:val="22"/>
          <w:szCs w:val="22"/>
        </w:rPr>
        <w:t>En ampliación a recurso indica que se violentado el princi</w:t>
      </w:r>
      <w:r w:rsidR="005C7103">
        <w:rPr>
          <w:rFonts w:ascii="Verdana" w:hAnsi="Verdana"/>
          <w:sz w:val="22"/>
          <w:szCs w:val="22"/>
        </w:rPr>
        <w:t>pi</w:t>
      </w:r>
      <w:r>
        <w:rPr>
          <w:rFonts w:ascii="Verdana" w:hAnsi="Verdana"/>
          <w:sz w:val="22"/>
          <w:szCs w:val="22"/>
        </w:rPr>
        <w:t>o de interdicción de la Arbitrariedad</w:t>
      </w:r>
      <w:r w:rsidR="005C7103">
        <w:rPr>
          <w:rFonts w:ascii="Verdana" w:hAnsi="Verdana"/>
          <w:sz w:val="22"/>
          <w:szCs w:val="22"/>
        </w:rPr>
        <w:t xml:space="preserve"> pues la urgencia o excepcionalidad debe ser fugaz en el tiempo y espacio, por la aplicación de la anormal</w:t>
      </w:r>
      <w:r w:rsidR="00021663">
        <w:rPr>
          <w:rFonts w:ascii="Verdana" w:hAnsi="Verdana"/>
          <w:sz w:val="22"/>
          <w:szCs w:val="22"/>
        </w:rPr>
        <w:t xml:space="preserve"> del ordenamiento frente a situaciones anormales, sin que sea de recibo su aplicación en situaciones normales como es el caso de </w:t>
      </w:r>
      <w:r w:rsidR="0054792D">
        <w:rPr>
          <w:rFonts w:ascii="Verdana" w:hAnsi="Verdana"/>
          <w:sz w:val="22"/>
          <w:szCs w:val="22"/>
        </w:rPr>
        <w:t>los concesionarios</w:t>
      </w:r>
      <w:r w:rsidR="00021663">
        <w:rPr>
          <w:rFonts w:ascii="Verdana" w:hAnsi="Verdana"/>
          <w:sz w:val="22"/>
          <w:szCs w:val="22"/>
        </w:rPr>
        <w:t xml:space="preserve"> en general y el de su representada.</w:t>
      </w:r>
      <w:r w:rsidR="00C13639">
        <w:rPr>
          <w:rFonts w:ascii="Verdana" w:hAnsi="Verdana"/>
          <w:sz w:val="22"/>
          <w:szCs w:val="22"/>
        </w:rPr>
        <w:t xml:space="preserve">  La urgencia o excepcionalidad debe tener fundamento en la realidad y ser objetiva lo que se contradice en la continuidad, calidad y eficiencia de su representada</w:t>
      </w:r>
      <w:r w:rsidR="001D0954">
        <w:rPr>
          <w:rFonts w:ascii="Verdana" w:hAnsi="Verdana"/>
          <w:sz w:val="22"/>
          <w:szCs w:val="22"/>
        </w:rPr>
        <w:t>.</w:t>
      </w:r>
      <w:r w:rsidR="00C13639">
        <w:rPr>
          <w:rFonts w:ascii="Verdana" w:hAnsi="Verdana"/>
          <w:sz w:val="22"/>
          <w:szCs w:val="22"/>
        </w:rPr>
        <w:t xml:space="preserve">  Nunca una medida cautelar a nivel administrativo, puede desmejorar en sustancia y contenido, el estatus del concesionario ajustado a derecho, pues entonces la medida precautoria se convierte en disposición normativa de fondo</w:t>
      </w:r>
      <w:r w:rsidR="00C917EA">
        <w:rPr>
          <w:rFonts w:ascii="Verdana" w:hAnsi="Verdana"/>
          <w:sz w:val="22"/>
          <w:szCs w:val="22"/>
        </w:rPr>
        <w:t xml:space="preserve">.  No es procedente que un concesionario en disfrute de sus derechos subjetivos pase a ser permisionario, </w:t>
      </w:r>
      <w:r w:rsidR="00B412E2">
        <w:rPr>
          <w:rFonts w:ascii="Verdana" w:hAnsi="Verdana"/>
          <w:sz w:val="22"/>
          <w:szCs w:val="22"/>
        </w:rPr>
        <w:t>aunque</w:t>
      </w:r>
      <w:r w:rsidR="00C917EA">
        <w:rPr>
          <w:rFonts w:ascii="Verdana" w:hAnsi="Verdana"/>
          <w:sz w:val="22"/>
          <w:szCs w:val="22"/>
        </w:rPr>
        <w:t xml:space="preserve"> sea de manera temporal y excepcionalmente, menos violándose los mecanismos Legales</w:t>
      </w:r>
      <w:r w:rsidR="00B412E2">
        <w:rPr>
          <w:rFonts w:ascii="Verdana" w:hAnsi="Verdana"/>
          <w:sz w:val="22"/>
          <w:szCs w:val="22"/>
        </w:rPr>
        <w:t xml:space="preserve"> y no se puede sujetar la condición de permisionario al potencial acto de aprobación definitiva de la renovación de la concesión pues puede pasar a ser estado permanente por inoperancia de la Administración.</w:t>
      </w:r>
    </w:p>
    <w:p w:rsidR="001D0954" w:rsidRDefault="00867552" w:rsidP="001D0954">
      <w:pPr>
        <w:pStyle w:val="Textoindependiente2"/>
        <w:numPr>
          <w:ilvl w:val="0"/>
          <w:numId w:val="1"/>
        </w:numPr>
        <w:ind w:left="0"/>
        <w:rPr>
          <w:rFonts w:ascii="Verdana" w:hAnsi="Verdana"/>
          <w:sz w:val="22"/>
          <w:szCs w:val="22"/>
        </w:rPr>
      </w:pPr>
      <w:r>
        <w:rPr>
          <w:rFonts w:ascii="Verdana" w:hAnsi="Verdana"/>
          <w:sz w:val="22"/>
          <w:szCs w:val="22"/>
        </w:rPr>
        <w:t>En el Ordenamiento Costarricense no procede la reforma en perjuicio y en la especie existe un acto valido y eficaz</w:t>
      </w:r>
      <w:r w:rsidR="00B055C6">
        <w:rPr>
          <w:rFonts w:ascii="Verdana" w:hAnsi="Verdana"/>
          <w:sz w:val="22"/>
          <w:szCs w:val="22"/>
        </w:rPr>
        <w:t xml:space="preserve"> </w:t>
      </w:r>
      <w:r w:rsidR="0054792D">
        <w:rPr>
          <w:rFonts w:ascii="Verdana" w:hAnsi="Verdana"/>
          <w:sz w:val="22"/>
          <w:szCs w:val="22"/>
        </w:rPr>
        <w:t>y ninguna</w:t>
      </w:r>
      <w:r w:rsidR="00B055C6">
        <w:rPr>
          <w:rFonts w:ascii="Verdana" w:hAnsi="Verdana"/>
          <w:sz w:val="22"/>
          <w:szCs w:val="22"/>
        </w:rPr>
        <w:t xml:space="preserve"> conducta administrativa viciada de nulidad absoluta, se puede ejecutar ni presumir valida o legal, aunque sea como medida </w:t>
      </w:r>
      <w:r w:rsidR="0054792D">
        <w:rPr>
          <w:rFonts w:ascii="Verdana" w:hAnsi="Verdana"/>
          <w:sz w:val="22"/>
          <w:szCs w:val="22"/>
        </w:rPr>
        <w:t>cautelar,</w:t>
      </w:r>
      <w:r w:rsidR="00B055C6">
        <w:rPr>
          <w:rFonts w:ascii="Verdana" w:hAnsi="Verdana"/>
          <w:sz w:val="22"/>
          <w:szCs w:val="22"/>
        </w:rPr>
        <w:t xml:space="preserve"> aunque provenga de la Procuraduría General de la República</w:t>
      </w:r>
      <w:r w:rsidR="001D0954">
        <w:rPr>
          <w:rFonts w:ascii="Verdana" w:hAnsi="Verdana"/>
          <w:sz w:val="22"/>
          <w:szCs w:val="22"/>
        </w:rPr>
        <w:t>.</w:t>
      </w:r>
      <w:r w:rsidR="00B055C6">
        <w:rPr>
          <w:rFonts w:ascii="Verdana" w:hAnsi="Verdana"/>
          <w:sz w:val="22"/>
          <w:szCs w:val="22"/>
        </w:rPr>
        <w:t xml:space="preserve"> </w:t>
      </w:r>
    </w:p>
    <w:p w:rsidR="001D0954" w:rsidRPr="00220297" w:rsidRDefault="001D0954" w:rsidP="001D0954">
      <w:pPr>
        <w:pStyle w:val="Textoindependiente2"/>
        <w:numPr>
          <w:ilvl w:val="0"/>
          <w:numId w:val="1"/>
        </w:numPr>
        <w:ind w:left="0"/>
        <w:rPr>
          <w:rFonts w:ascii="Verdana" w:hAnsi="Verdana"/>
          <w:sz w:val="22"/>
          <w:szCs w:val="22"/>
        </w:rPr>
      </w:pPr>
      <w:r>
        <w:rPr>
          <w:rFonts w:ascii="Verdana" w:hAnsi="Verdana"/>
          <w:sz w:val="22"/>
          <w:szCs w:val="22"/>
        </w:rPr>
        <w:t xml:space="preserve">Solicitan se </w:t>
      </w:r>
      <w:r w:rsidR="0012044F">
        <w:rPr>
          <w:rFonts w:ascii="Verdana" w:hAnsi="Verdana"/>
          <w:sz w:val="22"/>
          <w:szCs w:val="22"/>
        </w:rPr>
        <w:t>anule</w:t>
      </w:r>
      <w:r>
        <w:rPr>
          <w:rFonts w:ascii="Verdana" w:hAnsi="Verdana"/>
          <w:sz w:val="22"/>
          <w:szCs w:val="22"/>
        </w:rPr>
        <w:t xml:space="preserve"> en todos sus extremos el acuerdo impugnado.</w:t>
      </w:r>
    </w:p>
    <w:p w:rsidR="001D0954" w:rsidRDefault="001D0954" w:rsidP="001D0954">
      <w:pPr>
        <w:pStyle w:val="Textoindependiente2"/>
        <w:ind w:right="51"/>
        <w:rPr>
          <w:rFonts w:ascii="Verdana" w:hAnsi="Verdana"/>
          <w:b/>
          <w:sz w:val="22"/>
          <w:szCs w:val="22"/>
        </w:rPr>
      </w:pPr>
    </w:p>
    <w:p w:rsidR="001D0954" w:rsidRPr="00FE618D" w:rsidRDefault="001D0954" w:rsidP="001D0954">
      <w:pPr>
        <w:pStyle w:val="Textoindependiente2"/>
        <w:ind w:left="-187" w:right="51"/>
        <w:rPr>
          <w:rFonts w:ascii="Verdana" w:hAnsi="Verdana"/>
          <w:sz w:val="22"/>
          <w:szCs w:val="22"/>
        </w:rPr>
      </w:pPr>
      <w:r w:rsidRPr="009769D9">
        <w:rPr>
          <w:rFonts w:ascii="Verdana" w:hAnsi="Verdana"/>
          <w:b/>
          <w:sz w:val="22"/>
          <w:szCs w:val="22"/>
        </w:rPr>
        <w:t xml:space="preserve">TERCERO: </w:t>
      </w: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7.6.</w:t>
      </w:r>
      <w:r w:rsidR="008E2320">
        <w:rPr>
          <w:rFonts w:ascii="Verdana" w:hAnsi="Verdana"/>
          <w:b/>
          <w:sz w:val="22"/>
          <w:szCs w:val="22"/>
        </w:rPr>
        <w:t>5</w:t>
      </w:r>
      <w:r>
        <w:rPr>
          <w:rFonts w:ascii="Verdana" w:hAnsi="Verdana"/>
          <w:b/>
          <w:sz w:val="22"/>
          <w:szCs w:val="22"/>
        </w:rPr>
        <w:t xml:space="preserve"> de la Sesión Ordinaria 58-2015 de 14 de octubre de 2015, </w:t>
      </w:r>
      <w:r>
        <w:rPr>
          <w:rFonts w:ascii="Verdana" w:hAnsi="Verdana"/>
          <w:sz w:val="22"/>
          <w:szCs w:val="22"/>
        </w:rPr>
        <w:t xml:space="preserve">conoce y avala el Informe de la Dirección de Asuntos Jurídicos el </w:t>
      </w:r>
      <w:r w:rsidRPr="00860753">
        <w:rPr>
          <w:rFonts w:ascii="Verdana" w:hAnsi="Verdana"/>
          <w:b/>
          <w:sz w:val="22"/>
          <w:szCs w:val="22"/>
        </w:rPr>
        <w:t>DAJ</w:t>
      </w:r>
      <w:r>
        <w:rPr>
          <w:rFonts w:ascii="Verdana" w:hAnsi="Verdana"/>
          <w:b/>
          <w:sz w:val="22"/>
          <w:szCs w:val="22"/>
        </w:rPr>
        <w:t>- 2015-00351</w:t>
      </w:r>
      <w:r w:rsidR="000B59F6">
        <w:rPr>
          <w:rFonts w:ascii="Verdana" w:hAnsi="Verdana"/>
          <w:b/>
          <w:sz w:val="22"/>
          <w:szCs w:val="22"/>
        </w:rPr>
        <w:t>1</w:t>
      </w:r>
      <w:r>
        <w:rPr>
          <w:rFonts w:ascii="Verdana" w:hAnsi="Verdana"/>
          <w:b/>
          <w:sz w:val="22"/>
          <w:szCs w:val="22"/>
        </w:rPr>
        <w:t xml:space="preserve"> de 8 de octubre de 2015, </w:t>
      </w:r>
      <w:r>
        <w:rPr>
          <w:rFonts w:ascii="Verdana" w:hAnsi="Verdana"/>
          <w:sz w:val="22"/>
          <w:szCs w:val="22"/>
        </w:rPr>
        <w:t>y dispone rechazar por improcedente el Recurso de Revocatoria y la Nulidad concomitante presentada por el Recurrente, por considerar que la actuación del CTP se encuentra sustentada en la normativa artículo 25 inciso b) de la Ley 3503 y el criterio de la Procuraduría General de la República emitido mediante dictamen C-103-2015.</w:t>
      </w:r>
      <w:r w:rsidRPr="00F336C3">
        <w:rPr>
          <w:rFonts w:ascii="Verdana" w:hAnsi="Verdana"/>
          <w:sz w:val="22"/>
          <w:szCs w:val="22"/>
        </w:rPr>
        <w:t xml:space="preserve"> </w:t>
      </w:r>
      <w:r>
        <w:rPr>
          <w:rFonts w:ascii="Verdana" w:hAnsi="Verdana"/>
          <w:sz w:val="22"/>
          <w:szCs w:val="22"/>
        </w:rPr>
        <w:t>(Léanse folios del 1 al 7 del expediente administrativo.)</w:t>
      </w:r>
    </w:p>
    <w:p w:rsidR="001D0954" w:rsidRDefault="001D0954" w:rsidP="001D0954">
      <w:pPr>
        <w:ind w:left="-187"/>
        <w:jc w:val="both"/>
        <w:rPr>
          <w:rFonts w:ascii="Verdana" w:hAnsi="Verdana"/>
          <w:sz w:val="22"/>
          <w:szCs w:val="22"/>
          <w:lang w:val="es-MX"/>
        </w:rPr>
      </w:pPr>
    </w:p>
    <w:p w:rsidR="001D0954" w:rsidRDefault="001D0954" w:rsidP="001D0954">
      <w:pPr>
        <w:ind w:left="-187"/>
        <w:jc w:val="both"/>
        <w:rPr>
          <w:rFonts w:ascii="Verdana" w:hAnsi="Verdana"/>
          <w:sz w:val="22"/>
          <w:szCs w:val="22"/>
          <w:lang w:val="es-MX"/>
        </w:rPr>
      </w:pPr>
    </w:p>
    <w:p w:rsidR="001D0954" w:rsidRPr="00125CFB" w:rsidRDefault="001D0954" w:rsidP="001D0954">
      <w:pPr>
        <w:ind w:left="-187"/>
        <w:jc w:val="both"/>
        <w:rPr>
          <w:rFonts w:ascii="Verdana" w:hAnsi="Verdana"/>
          <w:sz w:val="22"/>
          <w:szCs w:val="22"/>
          <w:lang w:val="es-MX"/>
        </w:rPr>
      </w:pPr>
      <w:r w:rsidRPr="002A5FC1">
        <w:rPr>
          <w:rFonts w:ascii="Verdana" w:hAnsi="Verdana"/>
          <w:b/>
          <w:sz w:val="22"/>
          <w:szCs w:val="22"/>
          <w:lang w:val="es-MX"/>
        </w:rPr>
        <w:t>CUARTO:</w:t>
      </w:r>
      <w:r>
        <w:rPr>
          <w:rFonts w:ascii="Verdana" w:hAnsi="Verdana"/>
          <w:b/>
          <w:sz w:val="22"/>
          <w:szCs w:val="22"/>
          <w:lang w:val="es-MX"/>
        </w:rPr>
        <w:t xml:space="preserve"> </w:t>
      </w:r>
      <w:r w:rsidR="003917C7" w:rsidRPr="003917C7">
        <w:rPr>
          <w:rFonts w:ascii="Verdana" w:hAnsi="Verdana"/>
          <w:sz w:val="22"/>
          <w:szCs w:val="22"/>
          <w:lang w:val="es-MX"/>
        </w:rPr>
        <w:t xml:space="preserve">La recurrente se </w:t>
      </w:r>
      <w:r w:rsidR="0009062E">
        <w:rPr>
          <w:rFonts w:ascii="Verdana" w:hAnsi="Verdana"/>
          <w:sz w:val="22"/>
          <w:szCs w:val="22"/>
          <w:lang w:val="es-MX"/>
        </w:rPr>
        <w:t>apersona ante este Tribunal dada</w:t>
      </w:r>
      <w:r w:rsidR="003917C7" w:rsidRPr="003917C7">
        <w:rPr>
          <w:rFonts w:ascii="Verdana" w:hAnsi="Verdana"/>
          <w:sz w:val="22"/>
          <w:szCs w:val="22"/>
          <w:lang w:val="es-MX"/>
        </w:rPr>
        <w:t xml:space="preserve"> Prevención que se le cursara y manifiesta</w:t>
      </w:r>
      <w:r w:rsidR="003917C7">
        <w:rPr>
          <w:rFonts w:ascii="Verdana" w:hAnsi="Verdana"/>
          <w:bCs/>
          <w:sz w:val="22"/>
          <w:szCs w:val="22"/>
          <w:lang w:val="es-ES"/>
        </w:rPr>
        <w:t xml:space="preserve"> en lo conducente </w:t>
      </w:r>
      <w:r w:rsidR="0054792D">
        <w:rPr>
          <w:rFonts w:ascii="Verdana" w:hAnsi="Verdana"/>
          <w:bCs/>
          <w:sz w:val="22"/>
          <w:szCs w:val="22"/>
          <w:lang w:val="es-ES"/>
        </w:rPr>
        <w:t>que el</w:t>
      </w:r>
      <w:r w:rsidR="00CA4B4C">
        <w:rPr>
          <w:rFonts w:ascii="Verdana" w:hAnsi="Verdana"/>
          <w:bCs/>
          <w:sz w:val="22"/>
          <w:szCs w:val="22"/>
          <w:lang w:val="es-ES"/>
        </w:rPr>
        <w:t xml:space="preserve"> criterio jurídico que sirve de fundamento para la conducta administrativa del Consejo de Transporte Público persiste y aumenta los vicios de nulidad absoluta ya apuntados</w:t>
      </w:r>
      <w:r w:rsidR="00AF7B1D">
        <w:rPr>
          <w:rFonts w:ascii="Verdana" w:hAnsi="Verdana"/>
          <w:bCs/>
          <w:sz w:val="22"/>
          <w:szCs w:val="22"/>
          <w:lang w:val="es-ES"/>
        </w:rPr>
        <w:t xml:space="preserve"> y en este acto </w:t>
      </w:r>
      <w:r w:rsidR="00AF7B1D">
        <w:rPr>
          <w:rFonts w:ascii="Verdana" w:hAnsi="Verdana"/>
          <w:bCs/>
          <w:sz w:val="22"/>
          <w:szCs w:val="22"/>
          <w:lang w:val="es-ES"/>
        </w:rPr>
        <w:lastRenderedPageBreak/>
        <w:t>invoca la debida protección de sus derechos subjetivos según el artículo 49 de la Constitución Política</w:t>
      </w:r>
      <w:r w:rsidR="005B21B8">
        <w:rPr>
          <w:rFonts w:ascii="Verdana" w:hAnsi="Verdana"/>
          <w:bCs/>
          <w:sz w:val="22"/>
          <w:szCs w:val="22"/>
          <w:lang w:val="es-ES"/>
        </w:rPr>
        <w:t xml:space="preserve">.  Rebatiendo el criterio jurídico de la </w:t>
      </w:r>
      <w:r w:rsidR="00534C9C">
        <w:rPr>
          <w:rFonts w:ascii="Verdana" w:hAnsi="Verdana"/>
          <w:bCs/>
          <w:sz w:val="22"/>
          <w:szCs w:val="22"/>
          <w:lang w:val="es-ES"/>
        </w:rPr>
        <w:t xml:space="preserve">Subdirectora de la </w:t>
      </w:r>
      <w:r w:rsidR="005B21B8">
        <w:rPr>
          <w:rFonts w:ascii="Verdana" w:hAnsi="Verdana"/>
          <w:bCs/>
          <w:sz w:val="22"/>
          <w:szCs w:val="22"/>
          <w:lang w:val="es-ES"/>
        </w:rPr>
        <w:t xml:space="preserve">Asesoría Jurídica del Consejo el que considera hasta irrespetuoso, indica </w:t>
      </w:r>
      <w:r w:rsidR="0054792D">
        <w:rPr>
          <w:rFonts w:ascii="Verdana" w:hAnsi="Verdana"/>
          <w:bCs/>
          <w:sz w:val="22"/>
          <w:szCs w:val="22"/>
          <w:lang w:val="es-ES"/>
        </w:rPr>
        <w:t>que, si</w:t>
      </w:r>
      <w:r w:rsidR="00534C9C">
        <w:rPr>
          <w:rFonts w:ascii="Verdana" w:hAnsi="Verdana"/>
          <w:bCs/>
          <w:sz w:val="22"/>
          <w:szCs w:val="22"/>
          <w:lang w:val="es-ES"/>
        </w:rPr>
        <w:t xml:space="preserve"> bien existe la figura </w:t>
      </w:r>
      <w:r w:rsidR="0054792D">
        <w:rPr>
          <w:rFonts w:ascii="Verdana" w:hAnsi="Verdana"/>
          <w:bCs/>
          <w:sz w:val="22"/>
          <w:szCs w:val="22"/>
          <w:lang w:val="es-ES"/>
        </w:rPr>
        <w:t>de la</w:t>
      </w:r>
      <w:r w:rsidR="004545CB">
        <w:rPr>
          <w:rFonts w:ascii="Verdana" w:hAnsi="Verdana"/>
          <w:bCs/>
          <w:sz w:val="22"/>
          <w:szCs w:val="22"/>
          <w:lang w:val="es-ES"/>
        </w:rPr>
        <w:t xml:space="preserve"> aprobación administrativa, también se da la autorización, por la existencia de un contrato avalado y la presencia del derecho subjetivo continuado</w:t>
      </w:r>
      <w:r w:rsidR="00414262">
        <w:rPr>
          <w:rFonts w:ascii="Verdana" w:hAnsi="Verdana"/>
          <w:bCs/>
          <w:sz w:val="22"/>
          <w:szCs w:val="22"/>
          <w:lang w:val="es-ES"/>
        </w:rPr>
        <w:t xml:space="preserve"> de su representada, derechos pre constituidos que no pueden ser desmejorados pues la Ley no lo permite, y tener los derechos subjetivos rango constitucional.</w:t>
      </w:r>
      <w:r w:rsidR="005E6F4F">
        <w:rPr>
          <w:rFonts w:ascii="Verdana" w:hAnsi="Verdana"/>
          <w:bCs/>
          <w:sz w:val="22"/>
          <w:szCs w:val="22"/>
          <w:lang w:val="es-ES"/>
        </w:rPr>
        <w:t xml:space="preserve">  Se confunde en el dictamen el derecho subjetivo de la concesi</w:t>
      </w:r>
      <w:r w:rsidR="0009062E">
        <w:rPr>
          <w:rFonts w:ascii="Verdana" w:hAnsi="Verdana"/>
          <w:bCs/>
          <w:sz w:val="22"/>
          <w:szCs w:val="22"/>
          <w:lang w:val="es-ES"/>
        </w:rPr>
        <w:t>ón con el acto de aprobación par</w:t>
      </w:r>
      <w:r w:rsidR="005E6F4F">
        <w:rPr>
          <w:rFonts w:ascii="Verdana" w:hAnsi="Verdana"/>
          <w:bCs/>
          <w:sz w:val="22"/>
          <w:szCs w:val="22"/>
          <w:lang w:val="es-ES"/>
        </w:rPr>
        <w:t>a la eficacia jurídica</w:t>
      </w:r>
      <w:r w:rsidR="001D2E72">
        <w:rPr>
          <w:rFonts w:ascii="Verdana" w:hAnsi="Verdana"/>
          <w:bCs/>
          <w:sz w:val="22"/>
          <w:szCs w:val="22"/>
          <w:lang w:val="es-ES"/>
        </w:rPr>
        <w:t xml:space="preserve">, confundiéndose la validez con </w:t>
      </w:r>
      <w:r w:rsidR="00AB06BA">
        <w:rPr>
          <w:rFonts w:ascii="Verdana" w:hAnsi="Verdana"/>
          <w:bCs/>
          <w:sz w:val="22"/>
          <w:szCs w:val="22"/>
          <w:lang w:val="es-ES"/>
        </w:rPr>
        <w:t>eficacia; la</w:t>
      </w:r>
      <w:r w:rsidR="001D2E72">
        <w:rPr>
          <w:rFonts w:ascii="Verdana" w:hAnsi="Verdana"/>
          <w:bCs/>
          <w:sz w:val="22"/>
          <w:szCs w:val="22"/>
          <w:lang w:val="es-ES"/>
        </w:rPr>
        <w:t xml:space="preserve"> eficacia forma parte de la protección de la conducta administrativa para la ejecución del derecho previamente existente y no es igual al derecho subjetivo</w:t>
      </w:r>
      <w:r w:rsidR="000F6769">
        <w:rPr>
          <w:rFonts w:ascii="Verdana" w:hAnsi="Verdana"/>
          <w:bCs/>
          <w:sz w:val="22"/>
          <w:szCs w:val="22"/>
          <w:lang w:val="es-ES"/>
        </w:rPr>
        <w:t xml:space="preserve"> pues este proviene del acto dictado de la Administración </w:t>
      </w:r>
      <w:r w:rsidR="00AB06BA">
        <w:rPr>
          <w:rFonts w:ascii="Verdana" w:hAnsi="Verdana"/>
          <w:bCs/>
          <w:sz w:val="22"/>
          <w:szCs w:val="22"/>
          <w:lang w:val="es-ES"/>
        </w:rPr>
        <w:t>activa. (</w:t>
      </w:r>
      <w:r>
        <w:rPr>
          <w:rFonts w:ascii="Verdana" w:hAnsi="Verdana"/>
          <w:bCs/>
          <w:sz w:val="22"/>
          <w:szCs w:val="22"/>
          <w:lang w:val="es-ES"/>
        </w:rPr>
        <w:t xml:space="preserve">Léanse folios del </w:t>
      </w:r>
      <w:r w:rsidR="003917C7">
        <w:rPr>
          <w:rFonts w:ascii="Verdana" w:hAnsi="Verdana"/>
          <w:bCs/>
          <w:sz w:val="22"/>
          <w:szCs w:val="22"/>
          <w:lang w:val="es-ES"/>
        </w:rPr>
        <w:t>45</w:t>
      </w:r>
      <w:r>
        <w:rPr>
          <w:rFonts w:ascii="Verdana" w:hAnsi="Verdana"/>
          <w:bCs/>
          <w:sz w:val="22"/>
          <w:szCs w:val="22"/>
          <w:lang w:val="es-ES"/>
        </w:rPr>
        <w:t xml:space="preserve"> al </w:t>
      </w:r>
      <w:r w:rsidR="003917C7">
        <w:rPr>
          <w:rFonts w:ascii="Verdana" w:hAnsi="Verdana"/>
          <w:bCs/>
          <w:sz w:val="22"/>
          <w:szCs w:val="22"/>
          <w:lang w:val="es-ES"/>
        </w:rPr>
        <w:t>51</w:t>
      </w:r>
      <w:r>
        <w:rPr>
          <w:rFonts w:ascii="Verdana" w:hAnsi="Verdana"/>
          <w:bCs/>
          <w:sz w:val="22"/>
          <w:szCs w:val="22"/>
          <w:lang w:val="es-ES"/>
        </w:rPr>
        <w:t xml:space="preserve"> del expediente administrativo) </w:t>
      </w:r>
    </w:p>
    <w:p w:rsidR="001D0954" w:rsidRDefault="001D0954" w:rsidP="001D0954">
      <w:pPr>
        <w:ind w:left="-187"/>
        <w:jc w:val="both"/>
        <w:rPr>
          <w:rFonts w:ascii="Verdana" w:hAnsi="Verdana"/>
          <w:b/>
          <w:smallCaps/>
          <w:sz w:val="22"/>
          <w:szCs w:val="22"/>
        </w:rPr>
      </w:pPr>
    </w:p>
    <w:p w:rsidR="001D0954" w:rsidRPr="00440DBF" w:rsidRDefault="001D0954" w:rsidP="001D0954">
      <w:pPr>
        <w:ind w:left="-187"/>
        <w:jc w:val="both"/>
        <w:rPr>
          <w:rFonts w:ascii="Verdana" w:hAnsi="Verdana"/>
          <w:bCs/>
          <w:sz w:val="22"/>
          <w:szCs w:val="22"/>
          <w:lang w:val="es-ES"/>
        </w:rPr>
      </w:pPr>
      <w:r>
        <w:rPr>
          <w:rFonts w:ascii="Verdana" w:hAnsi="Verdana"/>
          <w:b/>
          <w:smallCaps/>
          <w:sz w:val="22"/>
          <w:szCs w:val="22"/>
        </w:rPr>
        <w:t xml:space="preserve">QUINTO: </w:t>
      </w:r>
      <w:r w:rsidRPr="00440DBF">
        <w:rPr>
          <w:rFonts w:ascii="Verdana" w:hAnsi="Verdana"/>
          <w:bCs/>
          <w:sz w:val="22"/>
          <w:szCs w:val="22"/>
          <w:lang w:val="es-ES"/>
        </w:rPr>
        <w:t xml:space="preserve">En </w:t>
      </w:r>
      <w:r>
        <w:rPr>
          <w:rFonts w:ascii="Verdana" w:hAnsi="Verdana"/>
          <w:bCs/>
          <w:sz w:val="22"/>
          <w:szCs w:val="22"/>
          <w:lang w:val="es-ES"/>
        </w:rPr>
        <w:t>los procedimientos se han observado las prescripciones del caso.</w:t>
      </w:r>
    </w:p>
    <w:p w:rsidR="001D0954" w:rsidRDefault="001D0954" w:rsidP="001D0954">
      <w:pPr>
        <w:ind w:left="-187"/>
        <w:jc w:val="both"/>
        <w:rPr>
          <w:rFonts w:ascii="Verdana" w:hAnsi="Verdana"/>
          <w:b/>
          <w:smallCaps/>
          <w:sz w:val="22"/>
          <w:szCs w:val="22"/>
        </w:rPr>
      </w:pPr>
    </w:p>
    <w:p w:rsidR="001D0954" w:rsidRDefault="001D0954" w:rsidP="001D0954">
      <w:pPr>
        <w:ind w:left="-187"/>
        <w:jc w:val="both"/>
        <w:rPr>
          <w:rFonts w:ascii="Verdana" w:hAnsi="Verdana"/>
          <w:b/>
          <w:smallCaps/>
          <w:sz w:val="22"/>
          <w:szCs w:val="22"/>
        </w:rPr>
      </w:pPr>
    </w:p>
    <w:p w:rsidR="001D0954" w:rsidRPr="00865369" w:rsidRDefault="0054792D" w:rsidP="001D0954">
      <w:pPr>
        <w:ind w:left="-187"/>
        <w:jc w:val="both"/>
        <w:rPr>
          <w:rFonts w:ascii="Verdana" w:hAnsi="Verdana"/>
          <w:b/>
          <w:smallCaps/>
          <w:sz w:val="22"/>
          <w:szCs w:val="22"/>
        </w:rPr>
      </w:pPr>
      <w:r w:rsidRPr="00865369">
        <w:rPr>
          <w:rFonts w:ascii="Verdana" w:hAnsi="Verdana"/>
          <w:b/>
          <w:smallCaps/>
          <w:sz w:val="22"/>
          <w:szCs w:val="22"/>
        </w:rPr>
        <w:t>REDACTA LA</w:t>
      </w:r>
      <w:r w:rsidR="001D0954" w:rsidRPr="00865369">
        <w:rPr>
          <w:rFonts w:ascii="Verdana" w:hAnsi="Verdana"/>
          <w:b/>
          <w:smallCaps/>
          <w:sz w:val="22"/>
          <w:szCs w:val="22"/>
        </w:rPr>
        <w:t xml:space="preserve"> Jueza </w:t>
      </w:r>
      <w:r w:rsidRPr="00865369">
        <w:rPr>
          <w:rFonts w:ascii="Verdana" w:hAnsi="Verdana"/>
          <w:b/>
          <w:smallCaps/>
          <w:sz w:val="22"/>
          <w:szCs w:val="22"/>
        </w:rPr>
        <w:t>PÉREZ PELÁEZ</w:t>
      </w:r>
      <w:r w:rsidR="001D0954" w:rsidRPr="00865369">
        <w:rPr>
          <w:rFonts w:ascii="Verdana" w:hAnsi="Verdana"/>
          <w:b/>
          <w:smallCaps/>
          <w:sz w:val="22"/>
          <w:szCs w:val="22"/>
        </w:rPr>
        <w:t xml:space="preserve">: </w:t>
      </w:r>
    </w:p>
    <w:p w:rsidR="001D0954" w:rsidRPr="00865369" w:rsidRDefault="001D0954" w:rsidP="001D0954">
      <w:pPr>
        <w:pStyle w:val="Textoindependiente2"/>
        <w:ind w:left="-187" w:right="51"/>
        <w:rPr>
          <w:rFonts w:ascii="Verdana" w:hAnsi="Verdana"/>
          <w:sz w:val="22"/>
          <w:szCs w:val="22"/>
        </w:rPr>
      </w:pPr>
    </w:p>
    <w:p w:rsidR="001D0954" w:rsidRPr="00B80EAA" w:rsidRDefault="001D0954" w:rsidP="001D0954">
      <w:pPr>
        <w:spacing w:line="480" w:lineRule="auto"/>
        <w:jc w:val="center"/>
        <w:rPr>
          <w:rFonts w:ascii="Verdana" w:hAnsi="Verdana"/>
          <w:b/>
          <w:sz w:val="24"/>
          <w:szCs w:val="24"/>
        </w:rPr>
      </w:pPr>
      <w:r w:rsidRPr="00B80EAA">
        <w:rPr>
          <w:rFonts w:ascii="Verdana" w:hAnsi="Verdana"/>
          <w:b/>
          <w:sz w:val="24"/>
          <w:szCs w:val="24"/>
        </w:rPr>
        <w:t xml:space="preserve">CONSIDERANDO </w:t>
      </w:r>
    </w:p>
    <w:p w:rsidR="001D0954" w:rsidRPr="00B80EAA" w:rsidRDefault="001D0954" w:rsidP="001D0954">
      <w:pPr>
        <w:jc w:val="both"/>
        <w:rPr>
          <w:rFonts w:ascii="Verdana" w:hAnsi="Verdana"/>
          <w:sz w:val="24"/>
          <w:szCs w:val="24"/>
        </w:rPr>
      </w:pPr>
      <w:r w:rsidRPr="00B80EAA">
        <w:rPr>
          <w:rFonts w:ascii="Verdana" w:hAnsi="Verdana"/>
          <w:b/>
          <w:sz w:val="24"/>
          <w:szCs w:val="24"/>
        </w:rPr>
        <w:t xml:space="preserve">1.- SOBRE </w:t>
      </w:r>
      <w:smartTag w:uri="urn:schemas-microsoft-com:office:smarttags" w:element="PersonName">
        <w:smartTagPr>
          <w:attr w:name="ProductID" w:val="LA COMPETENCIA"/>
        </w:smartTagPr>
        <w:r w:rsidRPr="00B80EAA">
          <w:rPr>
            <w:rFonts w:ascii="Verdana" w:hAnsi="Verdana"/>
            <w:b/>
            <w:sz w:val="24"/>
            <w:szCs w:val="24"/>
          </w:rPr>
          <w:t>LA COMPETENCIA</w:t>
        </w:r>
      </w:smartTag>
      <w:r w:rsidRPr="00B80EAA">
        <w:rPr>
          <w:rFonts w:ascii="Verdana" w:hAnsi="Verdana"/>
          <w:b/>
          <w:sz w:val="24"/>
          <w:szCs w:val="24"/>
        </w:rPr>
        <w:t xml:space="preserve">: </w:t>
      </w:r>
      <w:r w:rsidRPr="00B80EAA">
        <w:rPr>
          <w:rFonts w:ascii="Verdana" w:hAnsi="Verdana"/>
          <w:sz w:val="24"/>
          <w:szCs w:val="24"/>
        </w:rPr>
        <w:t xml:space="preserve">De conformidad con el artículo 22 de </w:t>
      </w:r>
      <w:smartTag w:uri="urn:schemas-microsoft-com:office:smarttags" w:element="PersonName">
        <w:smartTagPr>
          <w:attr w:name="ProductID" w:val="la Ley Reguladora"/>
        </w:smartTagPr>
        <w:r w:rsidRPr="00B80EAA">
          <w:rPr>
            <w:rFonts w:ascii="Verdana" w:hAnsi="Verdana"/>
            <w:sz w:val="24"/>
            <w:szCs w:val="24"/>
          </w:rPr>
          <w:t>la Ley Reguladora</w:t>
        </w:r>
      </w:smartTag>
      <w:r w:rsidRPr="00B80EAA">
        <w:rPr>
          <w:rFonts w:ascii="Verdana" w:hAnsi="Verdana"/>
          <w:sz w:val="24"/>
          <w:szCs w:val="24"/>
        </w:rPr>
        <w:t xml:space="preserve"> del Servicio Público de Transporte Remunerado de Personas en Vehículos en </w:t>
      </w:r>
      <w:smartTag w:uri="urn:schemas-microsoft-com:office:smarttags" w:element="PersonName">
        <w:smartTagPr>
          <w:attr w:name="ProductID" w:val="la Modalidad"/>
        </w:smartTagPr>
        <w:r w:rsidRPr="00B80EAA">
          <w:rPr>
            <w:rFonts w:ascii="Verdana" w:hAnsi="Verdana"/>
            <w:sz w:val="24"/>
            <w:szCs w:val="24"/>
          </w:rPr>
          <w:t>la Modalidad</w:t>
        </w:r>
      </w:smartTag>
      <w:r w:rsidRPr="00B80EAA">
        <w:rPr>
          <w:rFonts w:ascii="Verdana" w:hAnsi="Verdana"/>
          <w:sz w:val="24"/>
          <w:szCs w:val="24"/>
        </w:rPr>
        <w:t xml:space="preserve"> de Taxi, No. 7969 del 22 de diciembre de 1999, publicada el 28 de enero del 2000, el </w:t>
      </w:r>
      <w:r w:rsidRPr="00B80EAA">
        <w:rPr>
          <w:rFonts w:ascii="Verdana" w:hAnsi="Verdana"/>
          <w:smallCaps/>
          <w:sz w:val="24"/>
          <w:szCs w:val="24"/>
        </w:rPr>
        <w:t>Tribunal Administrativo de Transporte</w:t>
      </w:r>
      <w:r w:rsidRPr="00B80EAA">
        <w:rPr>
          <w:rFonts w:ascii="Verdana" w:hAnsi="Verdana"/>
          <w:sz w:val="24"/>
          <w:szCs w:val="24"/>
        </w:rPr>
        <w:t xml:space="preserve"> es el competente para conocer y resolver el presente </w:t>
      </w:r>
      <w:r w:rsidRPr="00994659">
        <w:rPr>
          <w:rFonts w:ascii="Verdana" w:hAnsi="Verdana"/>
          <w:sz w:val="24"/>
          <w:szCs w:val="24"/>
        </w:rPr>
        <w:t>recurso de apelación en subsidio y solicitud de suspensión del acto administrativo</w:t>
      </w:r>
      <w:r w:rsidRPr="00B80EAA">
        <w:rPr>
          <w:rFonts w:ascii="Verdana" w:hAnsi="Verdana"/>
          <w:sz w:val="24"/>
          <w:szCs w:val="24"/>
        </w:rPr>
        <w:t xml:space="preserve">. </w:t>
      </w:r>
    </w:p>
    <w:p w:rsidR="001D0954" w:rsidRPr="00B80EAA" w:rsidRDefault="001D0954" w:rsidP="001D0954">
      <w:pPr>
        <w:jc w:val="both"/>
        <w:rPr>
          <w:rFonts w:ascii="Verdana" w:hAnsi="Verdana"/>
          <w:b/>
          <w:sz w:val="24"/>
          <w:szCs w:val="24"/>
        </w:rPr>
      </w:pPr>
    </w:p>
    <w:p w:rsidR="001D0954" w:rsidRDefault="001D0954" w:rsidP="001D0954">
      <w:pPr>
        <w:jc w:val="both"/>
        <w:rPr>
          <w:rFonts w:ascii="Verdana" w:hAnsi="Verdana"/>
          <w:sz w:val="24"/>
          <w:szCs w:val="24"/>
        </w:rPr>
      </w:pPr>
      <w:r w:rsidRPr="00B80EAA">
        <w:rPr>
          <w:rFonts w:ascii="Verdana" w:hAnsi="Verdana"/>
          <w:b/>
          <w:sz w:val="24"/>
          <w:szCs w:val="24"/>
        </w:rPr>
        <w:t xml:space="preserve">2.- SOBRE LA ADMISIBILIDAD DEL RECURSO: </w:t>
      </w:r>
      <w:r w:rsidRPr="00B80EAA">
        <w:rPr>
          <w:rFonts w:ascii="Verdana" w:hAnsi="Verdana"/>
          <w:b/>
          <w:sz w:val="24"/>
          <w:szCs w:val="24"/>
          <w:u w:val="single"/>
        </w:rPr>
        <w:t>En cuanto a la Legitimación:</w:t>
      </w:r>
      <w:r w:rsidRPr="00B80EAA">
        <w:rPr>
          <w:rFonts w:ascii="Verdana" w:hAnsi="Verdana"/>
          <w:b/>
          <w:sz w:val="24"/>
          <w:szCs w:val="24"/>
        </w:rPr>
        <w:t xml:space="preserve"> </w:t>
      </w:r>
      <w:r>
        <w:rPr>
          <w:rFonts w:ascii="Verdana" w:hAnsi="Verdana"/>
          <w:sz w:val="24"/>
          <w:szCs w:val="24"/>
        </w:rPr>
        <w:t xml:space="preserve">A la empresa </w:t>
      </w:r>
      <w:r w:rsidR="00805F41">
        <w:rPr>
          <w:rFonts w:ascii="Verdana" w:hAnsi="Verdana"/>
          <w:b/>
          <w:sz w:val="22"/>
          <w:szCs w:val="22"/>
        </w:rPr>
        <w:t>D.S.R.</w:t>
      </w:r>
      <w:r>
        <w:rPr>
          <w:rFonts w:ascii="Verdana" w:hAnsi="Verdana"/>
          <w:sz w:val="22"/>
          <w:szCs w:val="22"/>
        </w:rPr>
        <w:t xml:space="preserve">, mediante el acuerdo impugnado se le </w:t>
      </w:r>
      <w:r w:rsidR="00C434F9">
        <w:rPr>
          <w:rFonts w:ascii="Verdana" w:hAnsi="Verdana"/>
          <w:sz w:val="22"/>
          <w:szCs w:val="22"/>
        </w:rPr>
        <w:t>otorga la</w:t>
      </w:r>
      <w:r>
        <w:rPr>
          <w:rFonts w:ascii="Verdana" w:hAnsi="Verdana"/>
          <w:sz w:val="22"/>
          <w:szCs w:val="22"/>
        </w:rPr>
        <w:t xml:space="preserve"> condición de </w:t>
      </w:r>
      <w:r w:rsidR="00C434F9">
        <w:rPr>
          <w:rFonts w:ascii="Verdana" w:hAnsi="Verdana"/>
          <w:sz w:val="22"/>
          <w:szCs w:val="22"/>
        </w:rPr>
        <w:t>permisionaria temporal</w:t>
      </w:r>
      <w:r>
        <w:rPr>
          <w:rFonts w:ascii="Verdana" w:hAnsi="Verdana"/>
          <w:sz w:val="22"/>
          <w:szCs w:val="22"/>
        </w:rPr>
        <w:t xml:space="preserve">, por lo </w:t>
      </w:r>
      <w:proofErr w:type="gramStart"/>
      <w:r>
        <w:rPr>
          <w:rFonts w:ascii="Verdana" w:hAnsi="Verdana"/>
          <w:sz w:val="22"/>
          <w:szCs w:val="22"/>
        </w:rPr>
        <w:t>tanto</w:t>
      </w:r>
      <w:proofErr w:type="gramEnd"/>
      <w:r>
        <w:rPr>
          <w:rFonts w:ascii="Verdana" w:hAnsi="Verdana"/>
          <w:sz w:val="22"/>
          <w:szCs w:val="22"/>
        </w:rPr>
        <w:t xml:space="preserve"> cuenta con </w:t>
      </w:r>
      <w:r w:rsidR="0009062E">
        <w:rPr>
          <w:rFonts w:ascii="Verdana" w:hAnsi="Verdana"/>
          <w:sz w:val="22"/>
          <w:szCs w:val="22"/>
        </w:rPr>
        <w:t>la</w:t>
      </w:r>
      <w:r>
        <w:rPr>
          <w:rFonts w:ascii="Verdana" w:hAnsi="Verdana"/>
          <w:sz w:val="22"/>
          <w:szCs w:val="22"/>
        </w:rPr>
        <w:t xml:space="preserve"> Legitimación para accionar en el presente asunto.</w:t>
      </w:r>
      <w:r w:rsidRPr="00B80EAA">
        <w:rPr>
          <w:rFonts w:ascii="Verdana" w:hAnsi="Verdana"/>
          <w:sz w:val="24"/>
          <w:szCs w:val="24"/>
        </w:rPr>
        <w:t xml:space="preserve"> </w:t>
      </w:r>
      <w:r w:rsidRPr="00B80EAA">
        <w:rPr>
          <w:rFonts w:ascii="Verdana" w:hAnsi="Verdana"/>
          <w:b/>
          <w:sz w:val="24"/>
          <w:szCs w:val="24"/>
          <w:u w:val="single"/>
        </w:rPr>
        <w:t>En cuanto al plazo:</w:t>
      </w:r>
      <w:r w:rsidRPr="00B80EAA">
        <w:rPr>
          <w:rFonts w:ascii="Verdana" w:hAnsi="Verdana"/>
          <w:b/>
          <w:sz w:val="24"/>
          <w:szCs w:val="24"/>
        </w:rPr>
        <w:t xml:space="preserve"> </w:t>
      </w:r>
      <w:r w:rsidRPr="00B80EAA">
        <w:rPr>
          <w:rFonts w:ascii="Verdana" w:hAnsi="Verdana"/>
          <w:sz w:val="24"/>
          <w:szCs w:val="24"/>
        </w:rPr>
        <w:t>Conforme al estudio efectuado el Recurso de Apelación fue presentado dentro del  plazo legal establecido para tal fin, en los términos del artículo 11 de la Ley 7969</w:t>
      </w:r>
      <w:r>
        <w:rPr>
          <w:rFonts w:ascii="Verdana" w:hAnsi="Verdana"/>
          <w:sz w:val="24"/>
          <w:szCs w:val="24"/>
        </w:rPr>
        <w:t xml:space="preserve"> ya que el Consejo no notificó a la recurrente lo cual se extrae del mismo POR TANTO sexto del acuerdo; por otro lado se tiene por presentado en tiempo por el mismo órgano colegiado en el acto que rechazó la revocatoria</w:t>
      </w:r>
      <w:r w:rsidRPr="00B80EAA">
        <w:rPr>
          <w:rFonts w:ascii="Verdana" w:hAnsi="Verdana"/>
          <w:sz w:val="24"/>
          <w:szCs w:val="24"/>
        </w:rPr>
        <w:t xml:space="preserve">. </w:t>
      </w:r>
    </w:p>
    <w:p w:rsidR="001D0954" w:rsidRDefault="001D0954" w:rsidP="001D0954">
      <w:pPr>
        <w:jc w:val="both"/>
        <w:rPr>
          <w:rFonts w:ascii="Verdana" w:hAnsi="Verdana"/>
          <w:sz w:val="24"/>
          <w:szCs w:val="24"/>
        </w:rPr>
      </w:pPr>
    </w:p>
    <w:p w:rsidR="001D0954" w:rsidRDefault="001D0954" w:rsidP="001D0954">
      <w:pPr>
        <w:jc w:val="both"/>
        <w:rPr>
          <w:rFonts w:ascii="Verdana" w:hAnsi="Verdana"/>
          <w:sz w:val="22"/>
          <w:szCs w:val="22"/>
        </w:rPr>
      </w:pPr>
      <w:r w:rsidRPr="00B80EAA">
        <w:rPr>
          <w:rFonts w:ascii="Verdana" w:hAnsi="Verdana"/>
          <w:b/>
          <w:bCs/>
          <w:sz w:val="24"/>
          <w:szCs w:val="24"/>
        </w:rPr>
        <w:t xml:space="preserve">3.- SOBRE LOS HECHOS PROBADOS: </w:t>
      </w:r>
      <w:r w:rsidRPr="00B80EAA">
        <w:rPr>
          <w:rFonts w:ascii="Verdana" w:hAnsi="Verdana"/>
          <w:sz w:val="24"/>
          <w:szCs w:val="24"/>
        </w:rPr>
        <w:t>De importancia para la decisión de este asunto, se estiman como debidamente demostrados los siguientes hechos por cuanto así han sido acreditados:</w:t>
      </w:r>
      <w:r w:rsidRPr="00B80EAA">
        <w:rPr>
          <w:rFonts w:ascii="Verdana" w:hAnsi="Verdana"/>
          <w:b/>
          <w:sz w:val="24"/>
          <w:szCs w:val="24"/>
        </w:rPr>
        <w:t xml:space="preserve">   </w:t>
      </w:r>
      <w:r w:rsidRPr="00B80EAA">
        <w:rPr>
          <w:rFonts w:ascii="Verdana" w:hAnsi="Verdana"/>
          <w:b/>
          <w:bCs/>
          <w:sz w:val="24"/>
          <w:szCs w:val="24"/>
        </w:rPr>
        <w:t>A).-</w:t>
      </w:r>
      <w:r w:rsidRPr="00B80EAA">
        <w:rPr>
          <w:rFonts w:ascii="Verdana" w:hAnsi="Verdana"/>
          <w:b/>
          <w:sz w:val="24"/>
          <w:szCs w:val="24"/>
        </w:rPr>
        <w:t xml:space="preserve"> </w:t>
      </w:r>
      <w:r>
        <w:rPr>
          <w:rFonts w:ascii="Verdana" w:hAnsi="Verdana"/>
          <w:sz w:val="22"/>
          <w:szCs w:val="22"/>
        </w:rPr>
        <w:t xml:space="preserve">La Junta Directiva del Consejo de Transporte Público, mediante el </w:t>
      </w:r>
      <w:r w:rsidRPr="00C10ADF">
        <w:rPr>
          <w:rFonts w:ascii="Verdana" w:hAnsi="Verdana"/>
          <w:b/>
          <w:sz w:val="22"/>
          <w:szCs w:val="22"/>
        </w:rPr>
        <w:t xml:space="preserve">acuerdo 8.1 de la Sesión </w:t>
      </w:r>
      <w:r w:rsidRPr="00C10ADF">
        <w:rPr>
          <w:rFonts w:ascii="Verdana" w:hAnsi="Verdana"/>
          <w:b/>
          <w:sz w:val="22"/>
          <w:szCs w:val="22"/>
        </w:rPr>
        <w:lastRenderedPageBreak/>
        <w:t>Ordinaria 25-201</w:t>
      </w:r>
      <w:r>
        <w:rPr>
          <w:rFonts w:ascii="Verdana" w:hAnsi="Verdana"/>
          <w:b/>
          <w:sz w:val="22"/>
          <w:szCs w:val="22"/>
        </w:rPr>
        <w:t>5</w:t>
      </w:r>
      <w:r w:rsidRPr="00C10ADF">
        <w:rPr>
          <w:rFonts w:ascii="Verdana" w:hAnsi="Verdana"/>
          <w:b/>
          <w:sz w:val="22"/>
          <w:szCs w:val="22"/>
        </w:rPr>
        <w:t xml:space="preserve"> de </w:t>
      </w:r>
      <w:r>
        <w:rPr>
          <w:rFonts w:ascii="Verdana" w:hAnsi="Verdana"/>
          <w:b/>
          <w:sz w:val="22"/>
          <w:szCs w:val="22"/>
        </w:rPr>
        <w:t>6</w:t>
      </w:r>
      <w:r w:rsidRPr="00C10ADF">
        <w:rPr>
          <w:rFonts w:ascii="Verdana" w:hAnsi="Verdana"/>
          <w:b/>
          <w:sz w:val="22"/>
          <w:szCs w:val="22"/>
        </w:rPr>
        <w:t xml:space="preserve"> de </w:t>
      </w:r>
      <w:r>
        <w:rPr>
          <w:rFonts w:ascii="Verdana" w:hAnsi="Verdana"/>
          <w:b/>
          <w:sz w:val="22"/>
          <w:szCs w:val="22"/>
        </w:rPr>
        <w:t>mayo</w:t>
      </w:r>
      <w:r w:rsidRPr="00C10ADF">
        <w:rPr>
          <w:rFonts w:ascii="Verdana" w:hAnsi="Verdana"/>
          <w:b/>
          <w:sz w:val="22"/>
          <w:szCs w:val="22"/>
        </w:rPr>
        <w:t xml:space="preserve"> de 201</w:t>
      </w:r>
      <w:r>
        <w:rPr>
          <w:rFonts w:ascii="Verdana" w:hAnsi="Verdana"/>
          <w:b/>
          <w:sz w:val="22"/>
          <w:szCs w:val="22"/>
        </w:rPr>
        <w:t xml:space="preserve">5, </w:t>
      </w:r>
      <w:r w:rsidRPr="00AF6122">
        <w:rPr>
          <w:rFonts w:ascii="Verdana" w:hAnsi="Verdana"/>
          <w:sz w:val="22"/>
          <w:szCs w:val="22"/>
        </w:rPr>
        <w:t xml:space="preserve">dispone  </w:t>
      </w:r>
      <w:r>
        <w:rPr>
          <w:rFonts w:ascii="Verdana" w:hAnsi="Verdana"/>
          <w:sz w:val="22"/>
          <w:szCs w:val="22"/>
        </w:rPr>
        <w:t>entre otros: “</w:t>
      </w:r>
      <w:r w:rsidRPr="000E7042">
        <w:rPr>
          <w:rFonts w:ascii="Verdana" w:hAnsi="Verdana"/>
          <w:i/>
          <w:sz w:val="22"/>
          <w:szCs w:val="22"/>
          <w:lang w:eastAsia="es-MX"/>
        </w:rPr>
        <w:t>2. Establecer, al amparo del inciso b) del artículo 25 de la Ley 3503, como condición EXCEPCIONAL y TRANSITORIA, la asignación de la condición de PERMISIONARIO, a todos los operadores que mediante acto administrativo válido en firme por parte de este Consejo, ostentan un derecho subjetivo de renovación de concesión. 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LGAP.4. Que la condición de PERMISIONARIO temporal y extraordinariamente a los OPERADORES fenecerá en el mismo momento en que cada OPERADOR individual obtenga el refrendo de su contrato de concesión</w:t>
      </w:r>
      <w:r>
        <w:rPr>
          <w:rFonts w:ascii="Verdana" w:hAnsi="Verdana"/>
          <w:i/>
          <w:sz w:val="22"/>
          <w:szCs w:val="22"/>
        </w:rPr>
        <w:t>”</w:t>
      </w:r>
      <w:r w:rsidRPr="000E7042">
        <w:rPr>
          <w:rFonts w:ascii="Verdana" w:hAnsi="Verdana"/>
          <w:i/>
          <w:sz w:val="22"/>
          <w:szCs w:val="22"/>
          <w:lang w:eastAsia="es-MX"/>
        </w:rPr>
        <w:t xml:space="preserve">. </w:t>
      </w:r>
      <w:r>
        <w:rPr>
          <w:rFonts w:ascii="Verdana" w:hAnsi="Verdana"/>
          <w:i/>
          <w:sz w:val="22"/>
          <w:szCs w:val="22"/>
        </w:rPr>
        <w:t xml:space="preserve"> </w:t>
      </w:r>
      <w:r>
        <w:rPr>
          <w:rFonts w:ascii="Verdana" w:hAnsi="Verdana"/>
          <w:sz w:val="22"/>
          <w:szCs w:val="22"/>
        </w:rPr>
        <w:t xml:space="preserve"> (Léanse folios 3</w:t>
      </w:r>
      <w:r w:rsidR="003521D4">
        <w:rPr>
          <w:rFonts w:ascii="Verdana" w:hAnsi="Verdana"/>
          <w:sz w:val="22"/>
          <w:szCs w:val="22"/>
        </w:rPr>
        <w:t>0</w:t>
      </w:r>
      <w:r>
        <w:rPr>
          <w:rFonts w:ascii="Verdana" w:hAnsi="Verdana"/>
          <w:sz w:val="22"/>
          <w:szCs w:val="22"/>
        </w:rPr>
        <w:t xml:space="preserve"> y 3</w:t>
      </w:r>
      <w:r w:rsidR="003521D4">
        <w:rPr>
          <w:rFonts w:ascii="Verdana" w:hAnsi="Verdana"/>
          <w:sz w:val="22"/>
          <w:szCs w:val="22"/>
        </w:rPr>
        <w:t>1</w:t>
      </w:r>
      <w:r>
        <w:rPr>
          <w:rFonts w:ascii="Verdana" w:hAnsi="Verdana"/>
          <w:sz w:val="22"/>
          <w:szCs w:val="22"/>
        </w:rPr>
        <w:t xml:space="preserve"> del expediente administrativo)</w:t>
      </w:r>
    </w:p>
    <w:p w:rsidR="00A2035F" w:rsidRDefault="001D0954" w:rsidP="00A2035F">
      <w:pPr>
        <w:pStyle w:val="Textoindependiente2"/>
        <w:rPr>
          <w:rFonts w:ascii="Verdana" w:hAnsi="Verdana"/>
          <w:sz w:val="22"/>
          <w:szCs w:val="22"/>
        </w:rPr>
      </w:pPr>
      <w:r w:rsidRPr="00B80EAA">
        <w:rPr>
          <w:rFonts w:ascii="Verdana" w:hAnsi="Verdana"/>
          <w:b/>
          <w:bCs/>
          <w:szCs w:val="24"/>
        </w:rPr>
        <w:t xml:space="preserve">B). </w:t>
      </w:r>
      <w:r w:rsidR="00DE67AA" w:rsidRPr="00FE618D">
        <w:rPr>
          <w:rFonts w:ascii="Verdana" w:hAnsi="Verdana"/>
          <w:sz w:val="22"/>
          <w:szCs w:val="22"/>
        </w:rPr>
        <w:t>La empresa</w:t>
      </w:r>
      <w:r w:rsidR="00DE67AA">
        <w:rPr>
          <w:rFonts w:ascii="Verdana" w:hAnsi="Verdana"/>
          <w:b/>
          <w:sz w:val="22"/>
          <w:szCs w:val="22"/>
        </w:rPr>
        <w:t xml:space="preserve"> </w:t>
      </w:r>
      <w:r w:rsidR="00805F41">
        <w:rPr>
          <w:rFonts w:ascii="Verdana" w:hAnsi="Verdana"/>
          <w:b/>
          <w:sz w:val="22"/>
          <w:szCs w:val="22"/>
        </w:rPr>
        <w:t>D.S.R.</w:t>
      </w:r>
      <w:r w:rsidR="00805F41">
        <w:rPr>
          <w:rFonts w:ascii="Verdana" w:hAnsi="Verdana"/>
          <w:b/>
          <w:sz w:val="22"/>
          <w:szCs w:val="22"/>
        </w:rPr>
        <w:t xml:space="preserve">, </w:t>
      </w:r>
      <w:r w:rsidR="00805F41">
        <w:rPr>
          <w:rFonts w:ascii="Verdana" w:hAnsi="Verdana"/>
          <w:sz w:val="22"/>
          <w:szCs w:val="22"/>
        </w:rPr>
        <w:t>presenta</w:t>
      </w:r>
      <w:r w:rsidR="00DE67AA">
        <w:rPr>
          <w:rFonts w:ascii="Verdana" w:hAnsi="Verdana"/>
          <w:sz w:val="22"/>
          <w:szCs w:val="22"/>
        </w:rPr>
        <w:t xml:space="preserve"> Recurso de Apelación en Subsidio y Nulidad concomitante, y ampliación del recurso indicando en </w:t>
      </w:r>
      <w:r w:rsidR="00805F41">
        <w:rPr>
          <w:rFonts w:ascii="Verdana" w:hAnsi="Verdana"/>
          <w:sz w:val="22"/>
          <w:szCs w:val="22"/>
        </w:rPr>
        <w:t>lo conducente</w:t>
      </w:r>
      <w:r w:rsidR="00DE67AA">
        <w:rPr>
          <w:rFonts w:ascii="Verdana" w:hAnsi="Verdana"/>
          <w:sz w:val="22"/>
          <w:szCs w:val="22"/>
        </w:rPr>
        <w:t xml:space="preserve"> lo que s</w:t>
      </w:r>
      <w:r w:rsidR="00DE67AA" w:rsidRPr="00DD7453">
        <w:rPr>
          <w:rFonts w:ascii="Verdana" w:hAnsi="Verdana"/>
          <w:sz w:val="22"/>
          <w:szCs w:val="22"/>
        </w:rPr>
        <w:t>e ha dado una violación a</w:t>
      </w:r>
      <w:r w:rsidR="00DE67AA">
        <w:rPr>
          <w:rFonts w:ascii="Verdana" w:hAnsi="Verdana"/>
          <w:sz w:val="22"/>
          <w:szCs w:val="22"/>
        </w:rPr>
        <w:t xml:space="preserve"> la garantía constitucional del debido proceso dado que sin audiencia ni procedimiento se les cambia su condición de concesionarios a permisionarios lo cual es improcedente.  Además nunca se les notificó el acto impugnado sino que se enteraron por publicación de ajuste tarifario  que hiciera la ARESEP en la Gaceta del 14 de mayo de 2015.  El acto impugnado está viciado de Nulidad </w:t>
      </w:r>
      <w:r w:rsidR="00805F41">
        <w:rPr>
          <w:rFonts w:ascii="Verdana" w:hAnsi="Verdana"/>
          <w:sz w:val="22"/>
          <w:szCs w:val="22"/>
        </w:rPr>
        <w:t>pues es</w:t>
      </w:r>
      <w:r w:rsidR="00DE67AA">
        <w:rPr>
          <w:rFonts w:ascii="Verdana" w:hAnsi="Verdana"/>
          <w:sz w:val="22"/>
          <w:szCs w:val="22"/>
        </w:rPr>
        <w:t xml:space="preserve"> contrario al Ordenamiento Jurídico escrito y no escrito, pues les cambia su condición jurídica de concesionarios a simples permisionario</w:t>
      </w:r>
      <w:r w:rsidR="0009062E">
        <w:rPr>
          <w:rFonts w:ascii="Verdana" w:hAnsi="Verdana"/>
          <w:sz w:val="22"/>
          <w:szCs w:val="22"/>
        </w:rPr>
        <w:t>s</w:t>
      </w:r>
      <w:r w:rsidR="00DE67AA">
        <w:rPr>
          <w:rFonts w:ascii="Verdana" w:hAnsi="Verdana"/>
          <w:sz w:val="22"/>
          <w:szCs w:val="22"/>
        </w:rPr>
        <w:t xml:space="preserve"> con la única razón de realizar un ajuste tarifario, pero nunca siguió los procedimientos establecidos para decretar una nulidad como </w:t>
      </w:r>
      <w:r w:rsidR="00805F41">
        <w:rPr>
          <w:rFonts w:ascii="Verdana" w:hAnsi="Verdana"/>
          <w:sz w:val="22"/>
          <w:szCs w:val="22"/>
        </w:rPr>
        <w:t>sería</w:t>
      </w:r>
      <w:r w:rsidR="00DE67AA">
        <w:rPr>
          <w:rFonts w:ascii="Verdana" w:hAnsi="Verdana"/>
          <w:sz w:val="22"/>
          <w:szCs w:val="22"/>
        </w:rPr>
        <w:t xml:space="preserve"> el proceso Contencioso de Lesividad, más tratándose de derechos fundamentales que son reserva de Ley.  Se violentan los principios de Razonabilidad y Proporcionalidad, pues con los razonamientos con que fundamenta el acto impugnado realiza un traslado de competencias y responsabilidades en perjuicio de los empresarios y los administrados.  La incapacidad económica y material que posee el CTP para preparar los informes o estudios para el refrendo de ARESEP de cada empresa,  no es fundamento para desconocer la condición de concesionarios y rebajarlos a nivel de permisionarios con derechos precarios y realizar los estudios es un deber de la Administración dado por Ley y no de los concesionarios;  no se pueden rebajar y afectar los derechos subjetivos sin seguir con los procedimientos dispuestos en la Ley.  No existe ninguna amenaza y por lo tanto no tiene sustento el argumento de la protección a la continuidad del servicio dado que eso siempre ha sido una obligación de los concesionarios y hasta la fecha no se ha dado noticia de que se hubiera suspendido servicio alguno.  Los concesionarios realizan inversiones y mejoras precisamente por su condición de tales,  misma que se adquiere con la firma del contrato como sucede en la especie, por lo que en condición de permisionario no se tiene el mismo soporte o respaldo para invertir.  El dictamen de la Procuraduría, se adhiere escandalosamente a la posición del Departamento Legal del CTP pero no es de aplicación en todo caso porque no se han demostrado que estuviera en peligro el interés público, pues el servicio se ha prestado con regularidad y eficiencia y hasta ha sido revisado y </w:t>
      </w:r>
      <w:r w:rsidR="00DE67AA">
        <w:rPr>
          <w:rFonts w:ascii="Verdana" w:hAnsi="Verdana"/>
          <w:sz w:val="22"/>
          <w:szCs w:val="22"/>
        </w:rPr>
        <w:lastRenderedPageBreak/>
        <w:t>calificado por el Consejo de Transporte Público, por lo que resulta improcedente la medida cautelar por oportunidad y Legalidad.  En ampliación a</w:t>
      </w:r>
      <w:r w:rsidR="0009062E">
        <w:rPr>
          <w:rFonts w:ascii="Verdana" w:hAnsi="Verdana"/>
          <w:sz w:val="22"/>
          <w:szCs w:val="22"/>
        </w:rPr>
        <w:t>l</w:t>
      </w:r>
      <w:r w:rsidR="00DE67AA">
        <w:rPr>
          <w:rFonts w:ascii="Verdana" w:hAnsi="Verdana"/>
          <w:sz w:val="22"/>
          <w:szCs w:val="22"/>
        </w:rPr>
        <w:t xml:space="preserve"> recurso indica que se </w:t>
      </w:r>
      <w:r w:rsidR="0009062E">
        <w:rPr>
          <w:rFonts w:ascii="Verdana" w:hAnsi="Verdana"/>
          <w:sz w:val="22"/>
          <w:szCs w:val="22"/>
        </w:rPr>
        <w:t xml:space="preserve">ha </w:t>
      </w:r>
      <w:r w:rsidR="00DE67AA">
        <w:rPr>
          <w:rFonts w:ascii="Verdana" w:hAnsi="Verdana"/>
          <w:sz w:val="22"/>
          <w:szCs w:val="22"/>
        </w:rPr>
        <w:t>violentado el principio de interdicción de la Arbitrariedad pues la urgencia o excepcionalidad debe ser fugaz en el tiempo y espacio, por la aplicación anormal del ordenamiento frente a situaciones anormales, sin que sea de recibo su aplicación en situacione</w:t>
      </w:r>
      <w:r w:rsidR="0009062E">
        <w:rPr>
          <w:rFonts w:ascii="Verdana" w:hAnsi="Verdana"/>
          <w:sz w:val="22"/>
          <w:szCs w:val="22"/>
        </w:rPr>
        <w:t>s normales como es el caso de lo</w:t>
      </w:r>
      <w:r w:rsidR="00DE67AA">
        <w:rPr>
          <w:rFonts w:ascii="Verdana" w:hAnsi="Verdana"/>
          <w:sz w:val="22"/>
          <w:szCs w:val="22"/>
        </w:rPr>
        <w:t xml:space="preserve">s </w:t>
      </w:r>
      <w:r w:rsidR="0009062E">
        <w:rPr>
          <w:rFonts w:ascii="Verdana" w:hAnsi="Verdana"/>
          <w:sz w:val="22"/>
          <w:szCs w:val="22"/>
        </w:rPr>
        <w:t>concesionarios en general y de</w:t>
      </w:r>
      <w:r w:rsidR="00DE67AA">
        <w:rPr>
          <w:rFonts w:ascii="Verdana" w:hAnsi="Verdana"/>
          <w:sz w:val="22"/>
          <w:szCs w:val="22"/>
        </w:rPr>
        <w:t>l de su representada.  La urgencia o excepcionalidad debe tener fundamento en la realidad y ser objetiva lo que se contradice en la continuidad, calidad y eficiencia de su representada.  Nunca una medida cautelar a nivel administrativo, puede desmejorar en sustancia y contenido, el estatus del concesionario ajustado a derecho, pues entonces la medida precautoria se convierte en disposición normativa de fondo.  No es procedente que un concesionario en disfrute de sus derechos subjetivos pase a ser permisionario, aunque sea de manera temporal y excepcionalmente, menos violándose los mecanismos Legales y no se puede sujetar la condición de permisionario al potencial acto de aprobación definitiva de la renovación de la concesión pues puede pasar a ser estado permanente por inoperancia de la Administración. En el Ordenamiento Costarricense no procede la reforma en perjuicio y en la especie existe un acto valido y eficaz y  ninguna conducta administrativa viciada de nulidad absoluta, se puede ejecutar ni presumir valida o legal, aunque sea como medida cautelar aunque provenga de la Procuraduría General de la República. (Léanse folios del 9 al 13 y del 16 al 27 del expediente administrativo.)</w:t>
      </w:r>
    </w:p>
    <w:p w:rsidR="00A2035F" w:rsidRDefault="001D0954" w:rsidP="00A2035F">
      <w:pPr>
        <w:pStyle w:val="Textoindependiente2"/>
        <w:rPr>
          <w:rFonts w:ascii="Verdana" w:hAnsi="Verdana"/>
          <w:sz w:val="22"/>
          <w:szCs w:val="22"/>
        </w:rPr>
      </w:pPr>
      <w:r w:rsidRPr="00B80EAA">
        <w:rPr>
          <w:rFonts w:ascii="Verdana" w:hAnsi="Verdana"/>
          <w:b/>
          <w:bCs/>
          <w:szCs w:val="24"/>
        </w:rPr>
        <w:t xml:space="preserve">C). </w:t>
      </w:r>
      <w:r w:rsidR="00A2035F" w:rsidRPr="002931AC">
        <w:rPr>
          <w:rFonts w:ascii="Verdana" w:hAnsi="Verdana"/>
          <w:sz w:val="22"/>
          <w:szCs w:val="22"/>
        </w:rPr>
        <w:t>La</w:t>
      </w:r>
      <w:r w:rsidR="00A2035F">
        <w:rPr>
          <w:rFonts w:ascii="Verdana" w:hAnsi="Verdana"/>
          <w:sz w:val="22"/>
          <w:szCs w:val="22"/>
        </w:rPr>
        <w:t xml:space="preserve"> Junta Directiva del Consejo de Transporte Público mediante </w:t>
      </w:r>
      <w:r w:rsidR="00A2035F" w:rsidRPr="00860753">
        <w:rPr>
          <w:rFonts w:ascii="Verdana" w:hAnsi="Verdana"/>
          <w:b/>
          <w:sz w:val="22"/>
          <w:szCs w:val="22"/>
        </w:rPr>
        <w:t>acuerdo</w:t>
      </w:r>
      <w:r w:rsidR="00A2035F">
        <w:rPr>
          <w:rFonts w:ascii="Verdana" w:hAnsi="Verdana"/>
          <w:b/>
          <w:sz w:val="22"/>
          <w:szCs w:val="22"/>
        </w:rPr>
        <w:t xml:space="preserve"> 7.6.5 de la Sesión Ordinaria 58-2015 de 14 de octubre de 2015, </w:t>
      </w:r>
      <w:r w:rsidR="00A2035F">
        <w:rPr>
          <w:rFonts w:ascii="Verdana" w:hAnsi="Verdana"/>
          <w:sz w:val="22"/>
          <w:szCs w:val="22"/>
        </w:rPr>
        <w:t xml:space="preserve">conoce y avala el Informe de la Dirección de Asuntos Jurídicos el </w:t>
      </w:r>
      <w:r w:rsidR="00A2035F" w:rsidRPr="00860753">
        <w:rPr>
          <w:rFonts w:ascii="Verdana" w:hAnsi="Verdana"/>
          <w:b/>
          <w:sz w:val="22"/>
          <w:szCs w:val="22"/>
        </w:rPr>
        <w:t>DAJ</w:t>
      </w:r>
      <w:r w:rsidR="00A2035F">
        <w:rPr>
          <w:rFonts w:ascii="Verdana" w:hAnsi="Verdana"/>
          <w:b/>
          <w:sz w:val="22"/>
          <w:szCs w:val="22"/>
        </w:rPr>
        <w:t xml:space="preserve">- 2015-003511 de 8 de octubre de 2015, </w:t>
      </w:r>
      <w:r w:rsidR="00A2035F">
        <w:rPr>
          <w:rFonts w:ascii="Verdana" w:hAnsi="Verdana"/>
          <w:sz w:val="22"/>
          <w:szCs w:val="22"/>
        </w:rPr>
        <w:t>y dispone rechazar por improcedente el Recurso de Revocatoria y la Nulidad concomitante presentada por el Recurrente, por considerar que la actuación del CTP se encuentra sustentada en la normativa artículo 25 inciso b) de la Ley 3503 y el criterio de la Procuraduría General de la República emitido mediante dictamen C-103-2015.</w:t>
      </w:r>
      <w:r w:rsidR="00A2035F" w:rsidRPr="00F336C3">
        <w:rPr>
          <w:rFonts w:ascii="Verdana" w:hAnsi="Verdana"/>
          <w:sz w:val="22"/>
          <w:szCs w:val="22"/>
        </w:rPr>
        <w:t xml:space="preserve"> </w:t>
      </w:r>
      <w:r w:rsidR="00A2035F">
        <w:rPr>
          <w:rFonts w:ascii="Verdana" w:hAnsi="Verdana"/>
          <w:sz w:val="22"/>
          <w:szCs w:val="22"/>
        </w:rPr>
        <w:t>(Léanse folios del 1 al 7 del expediente administrativo.)</w:t>
      </w:r>
    </w:p>
    <w:p w:rsidR="00A2035F" w:rsidRPr="00125CFB" w:rsidRDefault="001D0954" w:rsidP="00A2035F">
      <w:pPr>
        <w:pStyle w:val="Textoindependiente2"/>
        <w:rPr>
          <w:rFonts w:ascii="Verdana" w:hAnsi="Verdana"/>
          <w:sz w:val="22"/>
          <w:szCs w:val="22"/>
        </w:rPr>
      </w:pPr>
      <w:r>
        <w:rPr>
          <w:rFonts w:ascii="Verdana" w:hAnsi="Verdana"/>
          <w:b/>
          <w:bCs/>
          <w:szCs w:val="24"/>
        </w:rPr>
        <w:t>D).</w:t>
      </w:r>
      <w:r w:rsidRPr="00F336C3">
        <w:rPr>
          <w:rFonts w:ascii="Verdana" w:hAnsi="Verdana"/>
          <w:sz w:val="22"/>
          <w:szCs w:val="22"/>
        </w:rPr>
        <w:t xml:space="preserve"> </w:t>
      </w:r>
      <w:r w:rsidR="00A2035F" w:rsidRPr="003917C7">
        <w:rPr>
          <w:rFonts w:ascii="Verdana" w:hAnsi="Verdana"/>
          <w:sz w:val="22"/>
          <w:szCs w:val="22"/>
        </w:rPr>
        <w:t xml:space="preserve">La recurrente se </w:t>
      </w:r>
      <w:r w:rsidR="0009062E">
        <w:rPr>
          <w:rFonts w:ascii="Verdana" w:hAnsi="Verdana"/>
          <w:sz w:val="22"/>
          <w:szCs w:val="22"/>
        </w:rPr>
        <w:t>apersona ante este Tribunal dada</w:t>
      </w:r>
      <w:r w:rsidR="00A2035F" w:rsidRPr="003917C7">
        <w:rPr>
          <w:rFonts w:ascii="Verdana" w:hAnsi="Verdana"/>
          <w:sz w:val="22"/>
          <w:szCs w:val="22"/>
        </w:rPr>
        <w:t xml:space="preserve"> Prevención que se le cursara y manifiesta</w:t>
      </w:r>
      <w:r w:rsidR="00A2035F">
        <w:rPr>
          <w:rFonts w:ascii="Verdana" w:hAnsi="Verdana"/>
          <w:bCs/>
          <w:sz w:val="22"/>
          <w:szCs w:val="22"/>
          <w:lang w:val="es-ES"/>
        </w:rPr>
        <w:t xml:space="preserve"> en lo conducente que  el criterio jurídico que sirve de fundamento para la conducta administrativa del Consejo de Transporte Público persiste y aumenta los vicios de nulidad absoluta ya apuntados y en este acto invoca la debida protección de sus derechos subjetivos según el artículo 49 de la Constitución Política.  Rebatiendo el criterio jurídico de la Subdirectora de la Asesoría Jurídica del Consejo el que considera hasta irrespetuoso, indica que  si bien existe la figura de  la aprobación administrativa, también se da la autorización, por la existencia de un contrato avalado y la presencia del derecho subjetivo continuado de su representada, derechos pre constituidos que no pueden ser desmejorados pues la Ley no lo permite, y tener los derechos subjetivos rango constitucional.  Se confunde en el dictamen el derecho subjetivo de la concesi</w:t>
      </w:r>
      <w:r w:rsidR="0009062E">
        <w:rPr>
          <w:rFonts w:ascii="Verdana" w:hAnsi="Verdana"/>
          <w:bCs/>
          <w:sz w:val="22"/>
          <w:szCs w:val="22"/>
          <w:lang w:val="es-ES"/>
        </w:rPr>
        <w:t>ón con el acto de aprobación par</w:t>
      </w:r>
      <w:r w:rsidR="00A2035F">
        <w:rPr>
          <w:rFonts w:ascii="Verdana" w:hAnsi="Verdana"/>
          <w:bCs/>
          <w:sz w:val="22"/>
          <w:szCs w:val="22"/>
          <w:lang w:val="es-ES"/>
        </w:rPr>
        <w:t xml:space="preserve">a la eficacia jurídica, confundiéndose la validez con </w:t>
      </w:r>
      <w:r w:rsidR="0042207E">
        <w:rPr>
          <w:rFonts w:ascii="Verdana" w:hAnsi="Verdana"/>
          <w:bCs/>
          <w:sz w:val="22"/>
          <w:szCs w:val="22"/>
          <w:lang w:val="es-ES"/>
        </w:rPr>
        <w:t>eficacia; la</w:t>
      </w:r>
      <w:r w:rsidR="00A2035F">
        <w:rPr>
          <w:rFonts w:ascii="Verdana" w:hAnsi="Verdana"/>
          <w:bCs/>
          <w:sz w:val="22"/>
          <w:szCs w:val="22"/>
          <w:lang w:val="es-ES"/>
        </w:rPr>
        <w:t xml:space="preserve"> eficacia forma parte de la protección </w:t>
      </w:r>
      <w:r w:rsidR="00A2035F">
        <w:rPr>
          <w:rFonts w:ascii="Verdana" w:hAnsi="Verdana"/>
          <w:bCs/>
          <w:sz w:val="22"/>
          <w:szCs w:val="22"/>
          <w:lang w:val="es-ES"/>
        </w:rPr>
        <w:lastRenderedPageBreak/>
        <w:t xml:space="preserve">de la conducta administrativa para la ejecución del derecho previamente existente y no es igual al derecho subjetivo pues este proviene del acto dictado de la Administración </w:t>
      </w:r>
      <w:r w:rsidR="0042207E">
        <w:rPr>
          <w:rFonts w:ascii="Verdana" w:hAnsi="Verdana"/>
          <w:bCs/>
          <w:sz w:val="22"/>
          <w:szCs w:val="22"/>
          <w:lang w:val="es-ES"/>
        </w:rPr>
        <w:t>activa. (</w:t>
      </w:r>
      <w:r w:rsidR="00A2035F">
        <w:rPr>
          <w:rFonts w:ascii="Verdana" w:hAnsi="Verdana"/>
          <w:bCs/>
          <w:sz w:val="22"/>
          <w:szCs w:val="22"/>
          <w:lang w:val="es-ES"/>
        </w:rPr>
        <w:t xml:space="preserve">Léanse folios del 45 al 51 del expediente administrativo) </w:t>
      </w:r>
    </w:p>
    <w:p w:rsidR="001D0954" w:rsidRPr="00A2035F" w:rsidRDefault="001D0954" w:rsidP="001D0954">
      <w:pPr>
        <w:pStyle w:val="Textoindependiente2"/>
        <w:rPr>
          <w:rFonts w:ascii="Verdana" w:hAnsi="Verdana"/>
          <w:bCs/>
          <w:sz w:val="22"/>
          <w:szCs w:val="22"/>
        </w:rPr>
      </w:pPr>
    </w:p>
    <w:p w:rsidR="001D0954" w:rsidRDefault="001D0954" w:rsidP="001D0954">
      <w:pPr>
        <w:pStyle w:val="Textoindependiente2"/>
        <w:rPr>
          <w:rFonts w:ascii="Verdana" w:hAnsi="Verdana"/>
          <w:bCs/>
          <w:sz w:val="22"/>
          <w:szCs w:val="22"/>
          <w:lang w:val="es-ES"/>
        </w:rPr>
      </w:pPr>
      <w:r w:rsidRPr="00183226">
        <w:rPr>
          <w:rFonts w:ascii="Verdana" w:hAnsi="Verdana"/>
          <w:b/>
          <w:bCs/>
          <w:sz w:val="22"/>
          <w:szCs w:val="22"/>
          <w:lang w:val="es-ES"/>
        </w:rPr>
        <w:t>E)</w:t>
      </w:r>
      <w:r>
        <w:rPr>
          <w:rFonts w:ascii="Verdana" w:hAnsi="Verdana"/>
          <w:bCs/>
          <w:sz w:val="22"/>
          <w:szCs w:val="22"/>
          <w:lang w:val="es-ES"/>
        </w:rPr>
        <w:t xml:space="preserve">.   Se tiene por demostrado que </w:t>
      </w:r>
      <w:r w:rsidR="00115A51">
        <w:rPr>
          <w:rFonts w:ascii="Verdana" w:hAnsi="Verdana"/>
          <w:bCs/>
          <w:sz w:val="22"/>
          <w:szCs w:val="22"/>
          <w:lang w:val="es-ES"/>
        </w:rPr>
        <w:t xml:space="preserve">el acuerdo impugnado, tiene una vigencia hasta el momento en que se </w:t>
      </w:r>
      <w:r w:rsidR="0054792D">
        <w:rPr>
          <w:rFonts w:ascii="Verdana" w:hAnsi="Verdana"/>
          <w:bCs/>
          <w:sz w:val="22"/>
          <w:szCs w:val="22"/>
          <w:lang w:val="es-ES"/>
        </w:rPr>
        <w:t>dé</w:t>
      </w:r>
      <w:r w:rsidR="00115A51">
        <w:rPr>
          <w:rFonts w:ascii="Verdana" w:hAnsi="Verdana"/>
          <w:bCs/>
          <w:sz w:val="22"/>
          <w:szCs w:val="22"/>
          <w:lang w:val="es-ES"/>
        </w:rPr>
        <w:t xml:space="preserve"> el refrendo por parte de la </w:t>
      </w:r>
      <w:r w:rsidR="0009062E">
        <w:rPr>
          <w:rFonts w:ascii="Verdana" w:hAnsi="Verdana"/>
          <w:bCs/>
          <w:sz w:val="22"/>
          <w:szCs w:val="22"/>
          <w:lang w:val="es-ES"/>
        </w:rPr>
        <w:t>ARESEP.</w:t>
      </w:r>
    </w:p>
    <w:p w:rsidR="0009062E" w:rsidRDefault="0009062E" w:rsidP="001D0954">
      <w:pPr>
        <w:pStyle w:val="Textoindependiente2"/>
        <w:rPr>
          <w:rFonts w:ascii="Verdana" w:hAnsi="Verdana"/>
          <w:b/>
          <w:bCs/>
          <w:szCs w:val="24"/>
        </w:rPr>
      </w:pPr>
    </w:p>
    <w:p w:rsidR="001D0954" w:rsidRDefault="001D0954" w:rsidP="001D0954">
      <w:pPr>
        <w:pStyle w:val="Textoindependiente2"/>
        <w:rPr>
          <w:rFonts w:ascii="Verdana" w:hAnsi="Verdana"/>
          <w:szCs w:val="24"/>
        </w:rPr>
      </w:pPr>
      <w:r w:rsidRPr="00B80EAA">
        <w:rPr>
          <w:rFonts w:ascii="Verdana" w:hAnsi="Verdana"/>
          <w:b/>
          <w:bCs/>
          <w:szCs w:val="24"/>
        </w:rPr>
        <w:t xml:space="preserve">4.- HECHOS NO PROBADOS: </w:t>
      </w:r>
      <w:r w:rsidRPr="00B80EAA">
        <w:rPr>
          <w:rFonts w:ascii="Verdana" w:hAnsi="Verdana"/>
          <w:szCs w:val="24"/>
        </w:rPr>
        <w:t xml:space="preserve">Ninguno de importancia </w:t>
      </w:r>
      <w:r w:rsidR="0009062E" w:rsidRPr="00B80EAA">
        <w:rPr>
          <w:rFonts w:ascii="Verdana" w:hAnsi="Verdana"/>
          <w:szCs w:val="24"/>
        </w:rPr>
        <w:t>para la</w:t>
      </w:r>
      <w:r w:rsidRPr="00B80EAA">
        <w:rPr>
          <w:rFonts w:ascii="Verdana" w:hAnsi="Verdana"/>
          <w:szCs w:val="24"/>
        </w:rPr>
        <w:t xml:space="preserve"> resolución del presente asunto. </w:t>
      </w:r>
    </w:p>
    <w:p w:rsidR="001D0954" w:rsidRDefault="001D0954" w:rsidP="001D0954">
      <w:pPr>
        <w:pStyle w:val="Textoindependiente2"/>
        <w:rPr>
          <w:rFonts w:ascii="Verdana" w:hAnsi="Verdana"/>
          <w:b/>
          <w:bCs/>
          <w:sz w:val="22"/>
          <w:szCs w:val="22"/>
        </w:rPr>
      </w:pPr>
    </w:p>
    <w:p w:rsidR="001D0954" w:rsidRDefault="001D0954" w:rsidP="001D0954">
      <w:pPr>
        <w:pStyle w:val="Textoindependiente2"/>
        <w:rPr>
          <w:rFonts w:ascii="Verdana" w:hAnsi="Verdana"/>
          <w:b/>
          <w:bCs/>
          <w:sz w:val="22"/>
          <w:szCs w:val="22"/>
        </w:rPr>
      </w:pPr>
      <w:r w:rsidRPr="00206B70">
        <w:rPr>
          <w:rFonts w:ascii="Verdana" w:hAnsi="Verdana"/>
          <w:b/>
          <w:bCs/>
          <w:sz w:val="22"/>
          <w:szCs w:val="22"/>
        </w:rPr>
        <w:t>5.- SOBRE EL FONDO:</w:t>
      </w:r>
    </w:p>
    <w:p w:rsidR="001D0954" w:rsidRDefault="001D0954" w:rsidP="001D0954">
      <w:pPr>
        <w:pStyle w:val="Textoindependiente2"/>
        <w:rPr>
          <w:rFonts w:ascii="Verdana" w:hAnsi="Verdana"/>
          <w:b/>
          <w:bCs/>
          <w:sz w:val="22"/>
          <w:szCs w:val="22"/>
        </w:rPr>
      </w:pPr>
    </w:p>
    <w:p w:rsidR="001D0954" w:rsidRDefault="001D0954" w:rsidP="001D0954">
      <w:pPr>
        <w:pStyle w:val="Textoindependiente2"/>
        <w:rPr>
          <w:rFonts w:ascii="Verdana" w:hAnsi="Verdana"/>
          <w:b/>
          <w:bCs/>
          <w:sz w:val="22"/>
          <w:szCs w:val="22"/>
        </w:rPr>
      </w:pPr>
    </w:p>
    <w:p w:rsidR="001D0954" w:rsidRDefault="001D0954" w:rsidP="001D0954">
      <w:pPr>
        <w:pStyle w:val="Textoindependiente2"/>
        <w:rPr>
          <w:rFonts w:ascii="Verdana" w:hAnsi="Verdana"/>
          <w:b/>
          <w:sz w:val="22"/>
          <w:szCs w:val="22"/>
        </w:rPr>
      </w:pPr>
      <w:r>
        <w:rPr>
          <w:rFonts w:ascii="Verdana" w:hAnsi="Verdana"/>
          <w:b/>
          <w:sz w:val="22"/>
          <w:szCs w:val="22"/>
        </w:rPr>
        <w:t>El OBJETO DEL PROCEDIMIENTO.</w:t>
      </w:r>
    </w:p>
    <w:p w:rsidR="001D0954" w:rsidRDefault="001D0954" w:rsidP="001D0954">
      <w:pPr>
        <w:pStyle w:val="Textoindependiente2"/>
        <w:rPr>
          <w:rFonts w:ascii="Verdana" w:hAnsi="Verdana"/>
          <w:b/>
          <w:sz w:val="22"/>
          <w:szCs w:val="22"/>
        </w:rPr>
      </w:pPr>
    </w:p>
    <w:p w:rsidR="001D0954" w:rsidRDefault="001D0954" w:rsidP="001D0954">
      <w:pPr>
        <w:pStyle w:val="Textoindependiente2"/>
        <w:rPr>
          <w:rFonts w:ascii="Verdana" w:hAnsi="Verdana"/>
          <w:sz w:val="22"/>
          <w:szCs w:val="22"/>
        </w:rPr>
      </w:pPr>
      <w:r>
        <w:rPr>
          <w:rFonts w:ascii="Verdana" w:hAnsi="Verdana"/>
          <w:sz w:val="22"/>
          <w:szCs w:val="22"/>
        </w:rPr>
        <w:t>L</w:t>
      </w:r>
      <w:r w:rsidRPr="00206B70">
        <w:rPr>
          <w:rFonts w:ascii="Verdana" w:hAnsi="Verdana"/>
          <w:sz w:val="22"/>
          <w:szCs w:val="22"/>
        </w:rPr>
        <w:t xml:space="preserve">a empresa </w:t>
      </w:r>
      <w:r w:rsidR="00351F1E">
        <w:rPr>
          <w:rFonts w:ascii="Verdana" w:hAnsi="Verdana"/>
          <w:b/>
          <w:sz w:val="22"/>
          <w:szCs w:val="22"/>
        </w:rPr>
        <w:t>D.S.R.</w:t>
      </w:r>
      <w:r>
        <w:rPr>
          <w:rFonts w:ascii="Verdana" w:hAnsi="Verdana"/>
          <w:b/>
          <w:sz w:val="22"/>
          <w:szCs w:val="22"/>
        </w:rPr>
        <w:t>,</w:t>
      </w:r>
      <w:r>
        <w:rPr>
          <w:rFonts w:ascii="Verdana" w:hAnsi="Verdana"/>
          <w:sz w:val="22"/>
          <w:szCs w:val="22"/>
        </w:rPr>
        <w:t xml:space="preserve"> pretende la anulación del </w:t>
      </w:r>
      <w:proofErr w:type="gramStart"/>
      <w:r>
        <w:rPr>
          <w:rFonts w:ascii="Verdana" w:hAnsi="Verdana"/>
          <w:sz w:val="22"/>
          <w:szCs w:val="22"/>
        </w:rPr>
        <w:t xml:space="preserve">acuerdo </w:t>
      </w:r>
      <w:r>
        <w:rPr>
          <w:rFonts w:ascii="Verdana" w:hAnsi="Verdana"/>
          <w:b/>
          <w:sz w:val="22"/>
          <w:szCs w:val="22"/>
        </w:rPr>
        <w:t xml:space="preserve"> </w:t>
      </w:r>
      <w:r w:rsidRPr="00C10ADF">
        <w:rPr>
          <w:rFonts w:ascii="Verdana" w:hAnsi="Verdana"/>
          <w:b/>
          <w:sz w:val="22"/>
          <w:szCs w:val="22"/>
          <w:lang w:val="es-CR"/>
        </w:rPr>
        <w:t>8.1</w:t>
      </w:r>
      <w:proofErr w:type="gramEnd"/>
      <w:r w:rsidRPr="00C10ADF">
        <w:rPr>
          <w:rFonts w:ascii="Verdana" w:hAnsi="Verdana"/>
          <w:b/>
          <w:sz w:val="22"/>
          <w:szCs w:val="22"/>
          <w:lang w:val="es-CR"/>
        </w:rPr>
        <w:t xml:space="preserve"> de la Sesión Ordinaria 25-201</w:t>
      </w:r>
      <w:r>
        <w:rPr>
          <w:rFonts w:ascii="Verdana" w:hAnsi="Verdana"/>
          <w:b/>
          <w:sz w:val="22"/>
          <w:szCs w:val="22"/>
          <w:lang w:val="es-CR"/>
        </w:rPr>
        <w:t>5</w:t>
      </w:r>
      <w:r w:rsidRPr="00C10ADF">
        <w:rPr>
          <w:rFonts w:ascii="Verdana" w:hAnsi="Verdana"/>
          <w:b/>
          <w:sz w:val="22"/>
          <w:szCs w:val="22"/>
          <w:lang w:val="es-CR"/>
        </w:rPr>
        <w:t xml:space="preserve"> de </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mayo</w:t>
      </w:r>
      <w:r w:rsidRPr="00C10ADF">
        <w:rPr>
          <w:rFonts w:ascii="Verdana" w:hAnsi="Verdana"/>
          <w:b/>
          <w:sz w:val="22"/>
          <w:szCs w:val="22"/>
          <w:lang w:val="es-CR"/>
        </w:rPr>
        <w:t xml:space="preserve"> de 201</w:t>
      </w:r>
      <w:r>
        <w:rPr>
          <w:rFonts w:ascii="Verdana" w:hAnsi="Verdana"/>
          <w:b/>
          <w:sz w:val="22"/>
          <w:szCs w:val="22"/>
          <w:lang w:val="es-CR"/>
        </w:rPr>
        <w:t>5</w:t>
      </w:r>
      <w:r w:rsidRPr="00206B70">
        <w:rPr>
          <w:rFonts w:ascii="Verdana" w:hAnsi="Verdana"/>
          <w:sz w:val="22"/>
          <w:szCs w:val="22"/>
        </w:rPr>
        <w:t>, adoptado por la Junta Directiva del Consejo de Transporte Público</w:t>
      </w:r>
      <w:r>
        <w:rPr>
          <w:rFonts w:ascii="Verdana" w:hAnsi="Verdana"/>
          <w:sz w:val="22"/>
          <w:szCs w:val="22"/>
        </w:rPr>
        <w:t>, y se le restituya en su condición de concesionaria</w:t>
      </w:r>
      <w:r w:rsidR="00C92653">
        <w:rPr>
          <w:rFonts w:ascii="Verdana" w:hAnsi="Verdana"/>
          <w:sz w:val="22"/>
          <w:szCs w:val="22"/>
        </w:rPr>
        <w:t xml:space="preserve"> del </w:t>
      </w:r>
      <w:r>
        <w:rPr>
          <w:rFonts w:ascii="Verdana" w:hAnsi="Verdana"/>
          <w:sz w:val="22"/>
          <w:szCs w:val="22"/>
        </w:rPr>
        <w:t xml:space="preserve"> Servicio Remunerado de Personas modalidad  Autobús en Ruta Regular.</w:t>
      </w:r>
    </w:p>
    <w:p w:rsidR="001D0954" w:rsidRDefault="001D0954" w:rsidP="001D0954">
      <w:pPr>
        <w:pStyle w:val="Textoindependiente2"/>
        <w:rPr>
          <w:rFonts w:ascii="Verdana" w:hAnsi="Verdana"/>
          <w:sz w:val="22"/>
          <w:szCs w:val="22"/>
        </w:rPr>
      </w:pPr>
    </w:p>
    <w:p w:rsidR="001D0954" w:rsidRDefault="001D0954" w:rsidP="001D0954">
      <w:pPr>
        <w:pStyle w:val="Textoindependiente2"/>
        <w:rPr>
          <w:rFonts w:ascii="Verdana" w:hAnsi="Verdana"/>
          <w:sz w:val="22"/>
          <w:szCs w:val="22"/>
        </w:rPr>
      </w:pPr>
    </w:p>
    <w:p w:rsidR="001D0954" w:rsidRDefault="001D0954" w:rsidP="001D0954">
      <w:pPr>
        <w:pStyle w:val="Textoindependiente2"/>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1D0954" w:rsidRDefault="001D0954" w:rsidP="001D0954">
      <w:pPr>
        <w:jc w:val="both"/>
        <w:rPr>
          <w:rFonts w:ascii="Verdana" w:hAnsi="Verdana"/>
          <w:sz w:val="22"/>
          <w:szCs w:val="22"/>
        </w:rPr>
      </w:pPr>
    </w:p>
    <w:p w:rsidR="001D0954" w:rsidRDefault="00C20793" w:rsidP="001D0954">
      <w:pPr>
        <w:jc w:val="both"/>
        <w:rPr>
          <w:rFonts w:ascii="Verdana" w:hAnsi="Verdana"/>
          <w:sz w:val="22"/>
          <w:szCs w:val="22"/>
        </w:rPr>
      </w:pPr>
      <w:r w:rsidRPr="00FE618D">
        <w:rPr>
          <w:rFonts w:ascii="Verdana" w:hAnsi="Verdana"/>
          <w:sz w:val="22"/>
          <w:szCs w:val="22"/>
        </w:rPr>
        <w:t>La empresa</w:t>
      </w:r>
      <w:r>
        <w:rPr>
          <w:rFonts w:ascii="Verdana" w:hAnsi="Verdana"/>
          <w:b/>
          <w:sz w:val="22"/>
          <w:szCs w:val="22"/>
        </w:rPr>
        <w:t xml:space="preserve"> </w:t>
      </w:r>
      <w:r w:rsidR="00351F1E">
        <w:rPr>
          <w:rFonts w:ascii="Verdana" w:hAnsi="Verdana"/>
          <w:b/>
          <w:sz w:val="22"/>
          <w:szCs w:val="22"/>
        </w:rPr>
        <w:t>D.S.R.</w:t>
      </w:r>
      <w:proofErr w:type="gramStart"/>
      <w:r>
        <w:rPr>
          <w:rFonts w:ascii="Verdana" w:hAnsi="Verdana"/>
          <w:b/>
          <w:sz w:val="22"/>
          <w:szCs w:val="22"/>
        </w:rPr>
        <w:t xml:space="preserve">, </w:t>
      </w:r>
      <w:r>
        <w:rPr>
          <w:rFonts w:ascii="Verdana" w:hAnsi="Verdana"/>
          <w:sz w:val="22"/>
          <w:szCs w:val="22"/>
        </w:rPr>
        <w:t xml:space="preserve"> presenta</w:t>
      </w:r>
      <w:proofErr w:type="gramEnd"/>
      <w:r>
        <w:rPr>
          <w:rFonts w:ascii="Verdana" w:hAnsi="Verdana"/>
          <w:sz w:val="22"/>
          <w:szCs w:val="22"/>
        </w:rPr>
        <w:t xml:space="preserve"> Recurso de Apelación en Subsidio y Nulidad concomitante, y ampliación del recurso indicando en lo  conducente lo que s</w:t>
      </w:r>
      <w:r w:rsidRPr="00DD7453">
        <w:rPr>
          <w:rFonts w:ascii="Verdana" w:hAnsi="Verdana"/>
          <w:sz w:val="22"/>
          <w:szCs w:val="22"/>
        </w:rPr>
        <w:t xml:space="preserve">e ha dado </w:t>
      </w:r>
      <w:r w:rsidR="0054792D">
        <w:rPr>
          <w:rFonts w:ascii="Verdana" w:hAnsi="Verdana"/>
          <w:sz w:val="22"/>
          <w:szCs w:val="22"/>
        </w:rPr>
        <w:t xml:space="preserve">es </w:t>
      </w:r>
      <w:r w:rsidRPr="00DD7453">
        <w:rPr>
          <w:rFonts w:ascii="Verdana" w:hAnsi="Verdana"/>
          <w:sz w:val="22"/>
          <w:szCs w:val="22"/>
        </w:rPr>
        <w:t>una violación a</w:t>
      </w:r>
      <w:r>
        <w:rPr>
          <w:rFonts w:ascii="Verdana" w:hAnsi="Verdana"/>
          <w:sz w:val="22"/>
          <w:szCs w:val="22"/>
        </w:rPr>
        <w:t xml:space="preserve"> la garantía constitucional del debido proceso</w:t>
      </w:r>
      <w:r w:rsidR="0054792D">
        <w:rPr>
          <w:rFonts w:ascii="Verdana" w:hAnsi="Verdana"/>
          <w:sz w:val="22"/>
          <w:szCs w:val="22"/>
        </w:rPr>
        <w:t>,</w:t>
      </w:r>
      <w:r>
        <w:rPr>
          <w:rFonts w:ascii="Verdana" w:hAnsi="Verdana"/>
          <w:sz w:val="22"/>
          <w:szCs w:val="22"/>
        </w:rPr>
        <w:t xml:space="preserve"> dado que sin audiencia ni procedimiento se les cambia su condición de concesionarios a permisionarios lo cual es improcedente.  Además nunca se les notificó el acto impugnado sino que se enteraron por publicación de ajuste tarifario  que hiciera la ARESEP en la Gaceta del 14 de mayo de 2015.  El acto impugnado está viciado de Nulidad pues  es contrario al Ordenamiento Jurídico escrito y no escrito, pues les cambia su condición jurídica de concesionarios a simples permisionario con la única razón de realizar un ajuste tarifario, pero nunca siguió los procedimientos establecidos para decretar una nulidad como </w:t>
      </w:r>
      <w:r w:rsidR="0054792D">
        <w:rPr>
          <w:rFonts w:ascii="Verdana" w:hAnsi="Verdana"/>
          <w:sz w:val="22"/>
          <w:szCs w:val="22"/>
        </w:rPr>
        <w:t>sería</w:t>
      </w:r>
      <w:r>
        <w:rPr>
          <w:rFonts w:ascii="Verdana" w:hAnsi="Verdana"/>
          <w:sz w:val="22"/>
          <w:szCs w:val="22"/>
        </w:rPr>
        <w:t xml:space="preserve"> el proceso Contencioso de Lesividad, más tratándose de derechos fundamentales que son reserva de Ley.  Se violentan los principios de Razonabilidad y Proporcionalidad, pues con los razonamientos con que fundamenta el acto impugnado realiza un traslado de competencias y responsabilidades en perjuicio de los empresarios y los administrados.  La incapacidad económica y material que posee el CTP para preparar los informes o estudios para el refrendo de ARESEP de cada empresa,  no es fundamento para desconocer la condición de concesionarios y rebajarlos a nivel de permisionarios con derechos precarios y realizar los estudios es un deber de la Administración dado por Ley y no de los concesionarios;  no se pueden rebajar y afectar los derechos subjetivos sin seguir con los procedimientos </w:t>
      </w:r>
      <w:r>
        <w:rPr>
          <w:rFonts w:ascii="Verdana" w:hAnsi="Verdana"/>
          <w:sz w:val="22"/>
          <w:szCs w:val="22"/>
        </w:rPr>
        <w:lastRenderedPageBreak/>
        <w:t xml:space="preserve">dispuestos en la Ley.  No existe ninguna amenaza y por lo tanto no tiene sustento el argumento de la protección a la continuidad del servicio dado que eso siempre ha sido una obligación de los concesionarios y hasta la fecha no se ha dado noticia de que se hubiera suspendido servicio alguno.  Los concesionarios realizan inversiones y mejoras precisamente por su condición de tales,  misma que se adquiere con la firma del contrato como sucede en la especie, por lo que en condición de permisionario no se tiene el mismo soporte o respaldo para invertir.  El dictamen de la Procuraduría, se adhiere escandalosamente a la posición del Departamento Legal del CTP pero no es de aplicación en todo caso porque no se han demostrado que estuviera en peligro el interés público, pues el servicio se ha prestado con regularidad y eficiencia y hasta ha sido revisado y calificado por el Consejo de Transporte Público, por lo que resulta improcedente la medida cautelar por oportunidad y Legalidad.  En ampliación a recurso indica que se </w:t>
      </w:r>
      <w:r w:rsidR="0009062E">
        <w:rPr>
          <w:rFonts w:ascii="Verdana" w:hAnsi="Verdana"/>
          <w:sz w:val="22"/>
          <w:szCs w:val="22"/>
        </w:rPr>
        <w:t xml:space="preserve">ha </w:t>
      </w:r>
      <w:r>
        <w:rPr>
          <w:rFonts w:ascii="Verdana" w:hAnsi="Verdana"/>
          <w:sz w:val="22"/>
          <w:szCs w:val="22"/>
        </w:rPr>
        <w:t>violentado el principio de interdicción de la Arbitrariedad pues la urgencia o excepcionalidad debe ser fugaz en el tiempo y espacio, por la aplicación anormal del ordenamiento frente a situaciones anormales, sin que sea de recibo su aplicación en situaciones normales como es el caso de las concesionarios en general y de el de su representada.  La urgencia o excepcionalidad debe tener fundamento en la realidad y ser objetiva lo que se contradice en la continuidad, calidad y eficiencia de su representada.  Nunca una medida cautelar a nivel administrativo, puede desmejorar en sustancia y contenido, el estatus del concesionario ajustado a derecho, pues entonces la medida precautoria se convierte en disposición normativa de fondo.  No es procedente que un concesionario en disfrute de sus derechos subjetivos pase a ser permisionario, aunque sea de manera temporal y excepcionalmente, menos violándose los mecanismos Legales y no se puede sujetar la condición de permisionario al potencial acto de aprobación definitiva de la renovación de la concesión pues puede pasar a ser estado permanente por inoperancia de la Administración. En el Ordenamiento Costarricense no procede la reforma en perjuicio y en la especie existe un acto valido y eficaz y  ninguna conducta administrativa viciada de nulidad absoluta, se puede ejecutar ni presumir valida o legal, aunque sea como medida cautelar aunque provenga de la Procuraduría General de la República.</w:t>
      </w:r>
    </w:p>
    <w:p w:rsidR="00C20793" w:rsidRPr="000A779D" w:rsidRDefault="00C20793" w:rsidP="001D0954">
      <w:pPr>
        <w:jc w:val="both"/>
        <w:rPr>
          <w:rFonts w:ascii="Verdana" w:hAnsi="Verdana"/>
          <w:sz w:val="22"/>
          <w:szCs w:val="22"/>
          <w:lang w:val="es-MX"/>
        </w:rPr>
      </w:pPr>
      <w:r w:rsidRPr="003917C7">
        <w:rPr>
          <w:rFonts w:ascii="Verdana" w:hAnsi="Verdana"/>
          <w:sz w:val="22"/>
          <w:szCs w:val="22"/>
          <w:lang w:val="es-MX"/>
        </w:rPr>
        <w:t>La recurrente se apersona ante este Tribunal dado Prevención que se le cursara y manifiesta</w:t>
      </w:r>
      <w:r>
        <w:rPr>
          <w:rFonts w:ascii="Verdana" w:hAnsi="Verdana"/>
          <w:bCs/>
          <w:sz w:val="22"/>
          <w:szCs w:val="22"/>
          <w:lang w:val="es-ES"/>
        </w:rPr>
        <w:t xml:space="preserve"> en lo conducente que  el criterio jurídico que sirve de fundamento para la conducta administrativa del Consejo de Transporte Público persiste y aumenta los vicios de nulidad absoluta ya apuntados y en este acto invoca la debida protección de sus derechos subjetivos según el artículo 49 de la Constitución Política.  Rebatiendo el criterio jurídico de la Subdirectora de la Asesoría Jurídica del Consejo el que considera hasta irrespetuoso, indica que  si bien existe la figura de  la aprobación administrativa, también se da la autorización, por la existencia de un contrato avalado y la presencia del derecho subjetivo continuado de su representada, derechos pre constituidos que no pueden ser desmejorados pues la Ley no lo permite, y tener los derechos subjetivos rango constitucional.  Se confunde en el dictamen el derecho subjetivo de la concesi</w:t>
      </w:r>
      <w:r w:rsidR="0009062E">
        <w:rPr>
          <w:rFonts w:ascii="Verdana" w:hAnsi="Verdana"/>
          <w:bCs/>
          <w:sz w:val="22"/>
          <w:szCs w:val="22"/>
          <w:lang w:val="es-ES"/>
        </w:rPr>
        <w:t>ón con el acto de aprobación par</w:t>
      </w:r>
      <w:r>
        <w:rPr>
          <w:rFonts w:ascii="Verdana" w:hAnsi="Verdana"/>
          <w:bCs/>
          <w:sz w:val="22"/>
          <w:szCs w:val="22"/>
          <w:lang w:val="es-ES"/>
        </w:rPr>
        <w:t xml:space="preserve">a la eficacia jurídica, </w:t>
      </w:r>
      <w:r>
        <w:rPr>
          <w:rFonts w:ascii="Verdana" w:hAnsi="Verdana"/>
          <w:bCs/>
          <w:sz w:val="22"/>
          <w:szCs w:val="22"/>
          <w:lang w:val="es-ES"/>
        </w:rPr>
        <w:lastRenderedPageBreak/>
        <w:t>confundiéndose la validez con eficacia;  la eficacia forma parte de la protección de la conducta administrativa para la ejecución del derecho previamente existente y no es igual al derecho subjetivo pues este proviene del acto dictado de la Administración activa.</w:t>
      </w:r>
    </w:p>
    <w:p w:rsidR="00C20793" w:rsidRDefault="00C20793" w:rsidP="001D0954">
      <w:pPr>
        <w:jc w:val="both"/>
        <w:rPr>
          <w:rFonts w:ascii="Verdana" w:hAnsi="Verdana"/>
          <w:b/>
          <w:sz w:val="22"/>
          <w:szCs w:val="22"/>
        </w:rPr>
      </w:pPr>
    </w:p>
    <w:p w:rsidR="001D0954" w:rsidRPr="00CD367E" w:rsidRDefault="001D0954" w:rsidP="001D0954">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1D0954" w:rsidRDefault="001D0954" w:rsidP="001D0954">
      <w:pPr>
        <w:jc w:val="both"/>
        <w:rPr>
          <w:rFonts w:ascii="Verdana" w:hAnsi="Verdana"/>
          <w:sz w:val="22"/>
          <w:szCs w:val="22"/>
        </w:rPr>
      </w:pPr>
    </w:p>
    <w:p w:rsidR="001D0954" w:rsidRDefault="001D0954" w:rsidP="001D0954">
      <w:pPr>
        <w:jc w:val="both"/>
        <w:rPr>
          <w:rFonts w:ascii="Verdana" w:hAnsi="Verdana"/>
          <w:i/>
          <w:sz w:val="22"/>
          <w:szCs w:val="22"/>
        </w:rPr>
      </w:pPr>
      <w:r>
        <w:rPr>
          <w:rFonts w:ascii="Verdana" w:hAnsi="Verdana"/>
          <w:sz w:val="22"/>
          <w:szCs w:val="22"/>
        </w:rPr>
        <w:t xml:space="preserve">La Junta Directiva del Consejo de Transporte Público, mediante el </w:t>
      </w:r>
      <w:r w:rsidRPr="00C10ADF">
        <w:rPr>
          <w:rFonts w:ascii="Verdana" w:hAnsi="Verdana"/>
          <w:b/>
          <w:sz w:val="22"/>
          <w:szCs w:val="22"/>
        </w:rPr>
        <w:t>acuerdo 8.1 de la Sesión Ordinaria 25-201</w:t>
      </w:r>
      <w:r>
        <w:rPr>
          <w:rFonts w:ascii="Verdana" w:hAnsi="Verdana"/>
          <w:b/>
          <w:sz w:val="22"/>
          <w:szCs w:val="22"/>
        </w:rPr>
        <w:t>5</w:t>
      </w:r>
      <w:r w:rsidRPr="00C10ADF">
        <w:rPr>
          <w:rFonts w:ascii="Verdana" w:hAnsi="Verdana"/>
          <w:b/>
          <w:sz w:val="22"/>
          <w:szCs w:val="22"/>
        </w:rPr>
        <w:t xml:space="preserve"> de </w:t>
      </w:r>
      <w:r>
        <w:rPr>
          <w:rFonts w:ascii="Verdana" w:hAnsi="Verdana"/>
          <w:b/>
          <w:sz w:val="22"/>
          <w:szCs w:val="22"/>
        </w:rPr>
        <w:t>6</w:t>
      </w:r>
      <w:r w:rsidRPr="00C10ADF">
        <w:rPr>
          <w:rFonts w:ascii="Verdana" w:hAnsi="Verdana"/>
          <w:b/>
          <w:sz w:val="22"/>
          <w:szCs w:val="22"/>
        </w:rPr>
        <w:t xml:space="preserve"> de </w:t>
      </w:r>
      <w:r>
        <w:rPr>
          <w:rFonts w:ascii="Verdana" w:hAnsi="Verdana"/>
          <w:b/>
          <w:sz w:val="22"/>
          <w:szCs w:val="22"/>
        </w:rPr>
        <w:t>mayo</w:t>
      </w:r>
      <w:r w:rsidRPr="00C10ADF">
        <w:rPr>
          <w:rFonts w:ascii="Verdana" w:hAnsi="Verdana"/>
          <w:b/>
          <w:sz w:val="22"/>
          <w:szCs w:val="22"/>
        </w:rPr>
        <w:t xml:space="preserve"> de 201</w:t>
      </w:r>
      <w:r>
        <w:rPr>
          <w:rFonts w:ascii="Verdana" w:hAnsi="Verdana"/>
          <w:b/>
          <w:sz w:val="22"/>
          <w:szCs w:val="22"/>
        </w:rPr>
        <w:t xml:space="preserve">5, </w:t>
      </w:r>
      <w:r w:rsidRPr="00AF6122">
        <w:rPr>
          <w:rFonts w:ascii="Verdana" w:hAnsi="Verdana"/>
          <w:sz w:val="22"/>
          <w:szCs w:val="22"/>
        </w:rPr>
        <w:t xml:space="preserve">dispone </w:t>
      </w:r>
      <w:r>
        <w:rPr>
          <w:rFonts w:ascii="Verdana" w:hAnsi="Verdana"/>
          <w:sz w:val="22"/>
          <w:szCs w:val="22"/>
        </w:rPr>
        <w:t>entre otros: “</w:t>
      </w:r>
      <w:r w:rsidRPr="000E7042">
        <w:rPr>
          <w:rFonts w:ascii="Verdana" w:hAnsi="Verdana"/>
          <w:i/>
          <w:sz w:val="22"/>
          <w:szCs w:val="22"/>
          <w:lang w:eastAsia="es-MX"/>
        </w:rPr>
        <w:t>2. Establecer, al amparo del inciso b) del artículo 25 de la Ley 3503, como condición EXCEPCIONAL y TRANSITORIA, la asignación de la condición de PERMISIONARIO, a todos los operadores que mediante acto administrativo válido en firme por parte de este Consejo, ostentan un derecho subjetivo de renovación de concesión. 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LGAP.4. Que la condición de PERMISIONARIO temporal y extraordinariamente a los OPERADORES fenecerá en el mismo momento en que cada OPERADOR individual obtenga el refrendo de su contrato de concesión</w:t>
      </w:r>
      <w:r>
        <w:rPr>
          <w:rFonts w:ascii="Verdana" w:hAnsi="Verdana"/>
          <w:i/>
          <w:sz w:val="22"/>
          <w:szCs w:val="22"/>
        </w:rPr>
        <w:t>”</w:t>
      </w:r>
      <w:r w:rsidRPr="000E7042">
        <w:rPr>
          <w:rFonts w:ascii="Verdana" w:hAnsi="Verdana"/>
          <w:i/>
          <w:sz w:val="22"/>
          <w:szCs w:val="22"/>
          <w:lang w:eastAsia="es-MX"/>
        </w:rPr>
        <w:t xml:space="preserve">. </w:t>
      </w:r>
      <w:r>
        <w:rPr>
          <w:rFonts w:ascii="Verdana" w:hAnsi="Verdana"/>
          <w:i/>
          <w:sz w:val="22"/>
          <w:szCs w:val="22"/>
        </w:rPr>
        <w:t xml:space="preserve"> </w:t>
      </w:r>
    </w:p>
    <w:p w:rsidR="001D0954" w:rsidRDefault="001D0954" w:rsidP="001D0954">
      <w:pPr>
        <w:jc w:val="both"/>
        <w:rPr>
          <w:rFonts w:ascii="Verdana" w:hAnsi="Verdana"/>
          <w:i/>
          <w:sz w:val="22"/>
          <w:szCs w:val="22"/>
        </w:rPr>
      </w:pPr>
    </w:p>
    <w:p w:rsidR="001D0954" w:rsidRDefault="00C20793" w:rsidP="001D0954">
      <w:pPr>
        <w:jc w:val="both"/>
        <w:rPr>
          <w:rFonts w:ascii="Verdana" w:hAnsi="Verdana"/>
          <w:i/>
          <w:sz w:val="22"/>
          <w:szCs w:val="22"/>
        </w:rPr>
      </w:pP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7.6.5 de la Sesión Ordinaria 58-2015 de 14 de octubre de 2015, </w:t>
      </w:r>
      <w:r>
        <w:rPr>
          <w:rFonts w:ascii="Verdana" w:hAnsi="Verdana"/>
          <w:sz w:val="22"/>
          <w:szCs w:val="22"/>
        </w:rPr>
        <w:t xml:space="preserve">conoce y avala el Informe de la Dirección de Asuntos Jurídicos el </w:t>
      </w:r>
      <w:r w:rsidRPr="00860753">
        <w:rPr>
          <w:rFonts w:ascii="Verdana" w:hAnsi="Verdana"/>
          <w:b/>
          <w:sz w:val="22"/>
          <w:szCs w:val="22"/>
        </w:rPr>
        <w:t>DAJ</w:t>
      </w:r>
      <w:r>
        <w:rPr>
          <w:rFonts w:ascii="Verdana" w:hAnsi="Verdana"/>
          <w:b/>
          <w:sz w:val="22"/>
          <w:szCs w:val="22"/>
        </w:rPr>
        <w:t xml:space="preserve">- 2015-003511 de 8 de octubre de 2015, </w:t>
      </w:r>
      <w:r>
        <w:rPr>
          <w:rFonts w:ascii="Verdana" w:hAnsi="Verdana"/>
          <w:sz w:val="22"/>
          <w:szCs w:val="22"/>
        </w:rPr>
        <w:t xml:space="preserve">y dispone rechazar por improcedente el Recurso de Revocatoria y la Nulidad </w:t>
      </w:r>
      <w:r w:rsidR="00180020">
        <w:rPr>
          <w:rFonts w:ascii="Verdana" w:hAnsi="Verdana"/>
          <w:sz w:val="22"/>
          <w:szCs w:val="22"/>
        </w:rPr>
        <w:t>concomitante presentada por el r</w:t>
      </w:r>
      <w:r>
        <w:rPr>
          <w:rFonts w:ascii="Verdana" w:hAnsi="Verdana"/>
          <w:sz w:val="22"/>
          <w:szCs w:val="22"/>
        </w:rPr>
        <w:t>ecurrente, por considerar que la actuación del C</w:t>
      </w:r>
      <w:r w:rsidR="00180020">
        <w:rPr>
          <w:rFonts w:ascii="Verdana" w:hAnsi="Verdana"/>
          <w:sz w:val="22"/>
          <w:szCs w:val="22"/>
        </w:rPr>
        <w:t xml:space="preserve">TP se encuentra sustentada en lo dispuesto en </w:t>
      </w:r>
      <w:r>
        <w:rPr>
          <w:rFonts w:ascii="Verdana" w:hAnsi="Verdana"/>
          <w:sz w:val="22"/>
          <w:szCs w:val="22"/>
        </w:rPr>
        <w:t xml:space="preserve"> </w:t>
      </w:r>
      <w:r w:rsidR="00180020">
        <w:rPr>
          <w:rFonts w:ascii="Verdana" w:hAnsi="Verdana"/>
          <w:sz w:val="22"/>
          <w:szCs w:val="22"/>
        </w:rPr>
        <w:t xml:space="preserve">el </w:t>
      </w:r>
      <w:r>
        <w:rPr>
          <w:rFonts w:ascii="Verdana" w:hAnsi="Verdana"/>
          <w:sz w:val="22"/>
          <w:szCs w:val="22"/>
        </w:rPr>
        <w:t>artículo 25 inciso b) de la Ley 3503 y el criterio de la Procuraduría General de la República emitido mediante dictamen C-103-2015.</w:t>
      </w:r>
    </w:p>
    <w:p w:rsidR="001D0954" w:rsidRDefault="001D0954" w:rsidP="001D0954">
      <w:pPr>
        <w:jc w:val="both"/>
        <w:rPr>
          <w:rFonts w:ascii="Verdana" w:hAnsi="Verdana"/>
          <w:i/>
          <w:sz w:val="22"/>
          <w:szCs w:val="22"/>
        </w:rPr>
      </w:pPr>
    </w:p>
    <w:p w:rsidR="001D0954" w:rsidRPr="00E61AEA" w:rsidRDefault="001D0954" w:rsidP="001D0954">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1D0954" w:rsidRPr="00234E53" w:rsidRDefault="001D0954" w:rsidP="001D0954">
      <w:pPr>
        <w:autoSpaceDE w:val="0"/>
        <w:autoSpaceDN w:val="0"/>
        <w:adjustRightInd w:val="0"/>
        <w:jc w:val="both"/>
        <w:rPr>
          <w:rFonts w:ascii="Verdana" w:hAnsi="Verdana"/>
          <w:bCs/>
          <w:lang w:val="es-MX"/>
        </w:rPr>
      </w:pPr>
    </w:p>
    <w:p w:rsidR="001D0954" w:rsidRPr="00E61AEA" w:rsidRDefault="001D0954" w:rsidP="001D0954">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1D0954" w:rsidRPr="00E61AEA" w:rsidRDefault="001D0954" w:rsidP="001D0954">
      <w:pPr>
        <w:autoSpaceDE w:val="0"/>
        <w:autoSpaceDN w:val="0"/>
        <w:adjustRightInd w:val="0"/>
        <w:jc w:val="both"/>
        <w:rPr>
          <w:rFonts w:ascii="Verdana" w:hAnsi="Verdana"/>
          <w:sz w:val="22"/>
          <w:szCs w:val="22"/>
          <w:lang w:val="es-MX"/>
        </w:rPr>
      </w:pPr>
    </w:p>
    <w:p w:rsidR="001D0954" w:rsidRPr="00E61AEA" w:rsidRDefault="001D0954" w:rsidP="001D0954">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1D0954" w:rsidRPr="00E61AEA" w:rsidRDefault="001D0954" w:rsidP="001D0954">
      <w:pPr>
        <w:autoSpaceDE w:val="0"/>
        <w:autoSpaceDN w:val="0"/>
        <w:adjustRightInd w:val="0"/>
        <w:jc w:val="both"/>
        <w:rPr>
          <w:rFonts w:ascii="Verdana" w:hAnsi="Verdana"/>
          <w:sz w:val="22"/>
          <w:szCs w:val="22"/>
          <w:lang w:val="es-MX"/>
        </w:rPr>
      </w:pPr>
    </w:p>
    <w:p w:rsidR="001D0954" w:rsidRPr="0014454F" w:rsidRDefault="001D0954" w:rsidP="001D0954">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lastRenderedPageBreak/>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en consecuencia solo le es permitido lo que esté constitucionalmente y legalmente autorizado en forma expresa y todo lo que no les esté autorizado les está vedado. “</w:t>
      </w:r>
      <w:r w:rsidRPr="0014454F">
        <w:rPr>
          <w:rFonts w:ascii="Verdana" w:hAnsi="Verdana"/>
          <w:b/>
          <w:i/>
          <w:sz w:val="18"/>
          <w:szCs w:val="18"/>
          <w:lang w:val="es-MX"/>
        </w:rPr>
        <w:t xml:space="preserve"> (Lo resaltado no es del original)</w:t>
      </w:r>
    </w:p>
    <w:p w:rsidR="001D0954" w:rsidRDefault="001D0954" w:rsidP="001D0954">
      <w:pPr>
        <w:autoSpaceDE w:val="0"/>
        <w:autoSpaceDN w:val="0"/>
        <w:adjustRightInd w:val="0"/>
        <w:jc w:val="both"/>
        <w:rPr>
          <w:rFonts w:ascii="Verdana" w:hAnsi="Verdana"/>
          <w:b/>
          <w:sz w:val="22"/>
          <w:szCs w:val="22"/>
          <w:lang w:val="es-MX"/>
        </w:rPr>
      </w:pPr>
    </w:p>
    <w:p w:rsidR="001D0954" w:rsidRPr="00F620EC" w:rsidRDefault="001D0954" w:rsidP="001D0954">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1D0954" w:rsidRDefault="001D0954" w:rsidP="001D0954">
      <w:pPr>
        <w:autoSpaceDE w:val="0"/>
        <w:autoSpaceDN w:val="0"/>
        <w:adjustRightInd w:val="0"/>
        <w:jc w:val="both"/>
        <w:rPr>
          <w:rFonts w:ascii="Verdana" w:hAnsi="Verdana"/>
          <w:b/>
          <w:sz w:val="22"/>
          <w:szCs w:val="22"/>
          <w:lang w:val="es-MX"/>
        </w:rPr>
      </w:pPr>
    </w:p>
    <w:p w:rsidR="001D0954" w:rsidRDefault="001D0954" w:rsidP="001D0954">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Agrega el jurista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1D0954" w:rsidRPr="00F620EC" w:rsidRDefault="001D0954" w:rsidP="001D0954">
      <w:pPr>
        <w:autoSpaceDE w:val="0"/>
        <w:autoSpaceDN w:val="0"/>
        <w:adjustRightInd w:val="0"/>
        <w:ind w:left="397"/>
        <w:jc w:val="both"/>
        <w:rPr>
          <w:rFonts w:ascii="Verdana" w:hAnsi="Verdana"/>
          <w:i/>
          <w:sz w:val="18"/>
          <w:szCs w:val="18"/>
          <w:lang w:val="es-MX"/>
        </w:rPr>
      </w:pPr>
    </w:p>
    <w:p w:rsidR="001D0954" w:rsidRPr="00E61AEA" w:rsidRDefault="001D0954" w:rsidP="001D0954">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1D0954" w:rsidRPr="007C339A" w:rsidRDefault="001D0954" w:rsidP="001D0954">
      <w:pPr>
        <w:jc w:val="both"/>
        <w:rPr>
          <w:rFonts w:ascii="Verdana" w:hAnsi="Verdana"/>
          <w:b/>
          <w:sz w:val="22"/>
          <w:szCs w:val="22"/>
          <w:lang w:val="es-MX"/>
        </w:rPr>
      </w:pPr>
    </w:p>
    <w:p w:rsidR="00180020" w:rsidRDefault="00180020" w:rsidP="001D0954">
      <w:pPr>
        <w:jc w:val="both"/>
        <w:rPr>
          <w:rFonts w:ascii="Verdana" w:hAnsi="Verdana"/>
          <w:b/>
          <w:sz w:val="22"/>
          <w:szCs w:val="22"/>
        </w:rPr>
      </w:pPr>
    </w:p>
    <w:p w:rsidR="00180020" w:rsidRDefault="00180020" w:rsidP="001D0954">
      <w:pPr>
        <w:jc w:val="both"/>
        <w:rPr>
          <w:rFonts w:ascii="Verdana" w:hAnsi="Verdana"/>
          <w:b/>
          <w:sz w:val="22"/>
          <w:szCs w:val="22"/>
        </w:rPr>
      </w:pPr>
    </w:p>
    <w:p w:rsidR="00180020" w:rsidRDefault="00180020" w:rsidP="001D0954">
      <w:pPr>
        <w:jc w:val="both"/>
        <w:rPr>
          <w:rFonts w:ascii="Verdana" w:hAnsi="Verdana"/>
          <w:b/>
          <w:sz w:val="22"/>
          <w:szCs w:val="22"/>
        </w:rPr>
      </w:pPr>
    </w:p>
    <w:p w:rsidR="001D0954" w:rsidRDefault="001D0954" w:rsidP="001D0954">
      <w:pPr>
        <w:jc w:val="both"/>
        <w:rPr>
          <w:rFonts w:ascii="Verdana" w:hAnsi="Verdana"/>
          <w:b/>
          <w:sz w:val="22"/>
          <w:szCs w:val="22"/>
        </w:rPr>
      </w:pPr>
      <w:r>
        <w:rPr>
          <w:rFonts w:ascii="Verdana" w:hAnsi="Verdana"/>
          <w:b/>
          <w:sz w:val="22"/>
          <w:szCs w:val="22"/>
        </w:rPr>
        <w:t>DE LA GARANTÍA DEL BEBIDO PROCESO</w:t>
      </w:r>
    </w:p>
    <w:p w:rsidR="001D0954" w:rsidRDefault="001D0954" w:rsidP="001D0954">
      <w:pPr>
        <w:spacing w:after="120"/>
        <w:jc w:val="both"/>
      </w:pPr>
    </w:p>
    <w:p w:rsidR="001D0954" w:rsidRDefault="001D0954" w:rsidP="001D0954">
      <w:pPr>
        <w:spacing w:after="120"/>
        <w:jc w:val="both"/>
        <w:rPr>
          <w:rFonts w:ascii="Verdana" w:hAnsi="Verdana"/>
          <w:sz w:val="24"/>
          <w:szCs w:val="24"/>
        </w:rPr>
      </w:pPr>
      <w:r w:rsidRPr="00B42495">
        <w:rPr>
          <w:rFonts w:ascii="Verdana" w:hAnsi="Verdana"/>
          <w:sz w:val="24"/>
          <w:szCs w:val="24"/>
        </w:rPr>
        <w:t>El </w:t>
      </w:r>
      <w:r w:rsidRPr="00B42495">
        <w:rPr>
          <w:rFonts w:ascii="Verdana" w:hAnsi="Verdana"/>
          <w:b/>
          <w:bCs/>
          <w:sz w:val="24"/>
          <w:szCs w:val="24"/>
        </w:rPr>
        <w:t>debido proceso</w:t>
      </w:r>
      <w:r w:rsidRPr="00B42495">
        <w:rPr>
          <w:rFonts w:ascii="Verdana" w:hAnsi="Verdana"/>
          <w:sz w:val="24"/>
          <w:szCs w:val="24"/>
        </w:rPr>
        <w:t> </w:t>
      </w:r>
      <w:r>
        <w:rPr>
          <w:rFonts w:ascii="Verdana" w:hAnsi="Verdana"/>
          <w:sz w:val="24"/>
          <w:szCs w:val="24"/>
        </w:rPr>
        <w:t>constituye una garantía de rango constitucional</w:t>
      </w:r>
      <w:r w:rsidRPr="00B42495">
        <w:rPr>
          <w:rFonts w:ascii="Verdana" w:hAnsi="Verdana"/>
          <w:sz w:val="24"/>
          <w:szCs w:val="24"/>
        </w:rPr>
        <w:t xml:space="preserve"> </w:t>
      </w:r>
      <w:r>
        <w:rPr>
          <w:rFonts w:ascii="Verdana" w:hAnsi="Verdana"/>
          <w:sz w:val="24"/>
          <w:szCs w:val="24"/>
        </w:rPr>
        <w:t xml:space="preserve">que dispone que </w:t>
      </w:r>
      <w:r w:rsidRPr="00B42495">
        <w:rPr>
          <w:rFonts w:ascii="Verdana" w:hAnsi="Verdana"/>
          <w:sz w:val="24"/>
          <w:szCs w:val="24"/>
        </w:rPr>
        <w:t xml:space="preserve"> toda persona tenga derecho a ciertas </w:t>
      </w:r>
      <w:r>
        <w:rPr>
          <w:rFonts w:ascii="Verdana" w:hAnsi="Verdana"/>
          <w:sz w:val="24"/>
          <w:szCs w:val="24"/>
        </w:rPr>
        <w:t>prerrogativas</w:t>
      </w:r>
      <w:r w:rsidRPr="00B42495">
        <w:rPr>
          <w:rFonts w:ascii="Verdana" w:hAnsi="Verdana"/>
          <w:sz w:val="24"/>
          <w:szCs w:val="24"/>
        </w:rPr>
        <w:t xml:space="preserve"> mínimas, </w:t>
      </w:r>
      <w:r>
        <w:rPr>
          <w:rFonts w:ascii="Verdana" w:hAnsi="Verdana"/>
          <w:sz w:val="24"/>
          <w:szCs w:val="24"/>
        </w:rPr>
        <w:t>de tal suerte que se le garantice el equilibrio y la equidad procesal</w:t>
      </w:r>
      <w:r w:rsidRPr="00B42495">
        <w:rPr>
          <w:rFonts w:ascii="Verdana" w:hAnsi="Verdana"/>
          <w:sz w:val="24"/>
          <w:szCs w:val="24"/>
        </w:rPr>
        <w:t>,</w:t>
      </w:r>
      <w:r>
        <w:rPr>
          <w:rFonts w:ascii="Verdana" w:hAnsi="Verdana"/>
          <w:sz w:val="24"/>
          <w:szCs w:val="24"/>
        </w:rPr>
        <w:t xml:space="preserve">  frente a los poderes de imperio de la Administración.   Por lo anterior el individuo </w:t>
      </w:r>
      <w:r>
        <w:rPr>
          <w:rFonts w:ascii="Verdana" w:hAnsi="Verdana"/>
          <w:sz w:val="24"/>
          <w:szCs w:val="24"/>
        </w:rPr>
        <w:lastRenderedPageBreak/>
        <w:t>debe</w:t>
      </w:r>
      <w:r w:rsidRPr="00B42495">
        <w:rPr>
          <w:rFonts w:ascii="Verdana" w:hAnsi="Verdana"/>
          <w:sz w:val="24"/>
          <w:szCs w:val="24"/>
        </w:rPr>
        <w:t xml:space="preserve"> tener oportunidad de ser oído y a hacer valer sus pretensiones legítimas frente </w:t>
      </w:r>
      <w:r>
        <w:rPr>
          <w:rFonts w:ascii="Verdana" w:hAnsi="Verdana"/>
          <w:sz w:val="24"/>
          <w:szCs w:val="24"/>
        </w:rPr>
        <w:t>a quien dirige el procedimiento de que se trate, siempre que aquel sea de naturaleza sancionador o pretenda imponerle cargas o suprimirle derechos subjetivos</w:t>
      </w:r>
      <w:r w:rsidRPr="00B42495">
        <w:rPr>
          <w:rFonts w:ascii="Verdana" w:hAnsi="Verdana"/>
          <w:sz w:val="24"/>
          <w:szCs w:val="24"/>
        </w:rPr>
        <w:t>.</w:t>
      </w:r>
    </w:p>
    <w:p w:rsidR="001D0954" w:rsidRPr="00321A2C" w:rsidRDefault="00180020" w:rsidP="001D0954">
      <w:pPr>
        <w:spacing w:after="120"/>
        <w:jc w:val="both"/>
        <w:rPr>
          <w:rFonts w:ascii="Verdana" w:hAnsi="Verdana"/>
          <w:sz w:val="24"/>
          <w:szCs w:val="24"/>
        </w:rPr>
      </w:pPr>
      <w:r>
        <w:rPr>
          <w:rFonts w:ascii="Verdana" w:hAnsi="Verdana"/>
          <w:sz w:val="24"/>
          <w:szCs w:val="24"/>
        </w:rPr>
        <w:t xml:space="preserve">El </w:t>
      </w:r>
      <w:r w:rsidRPr="00321A2C">
        <w:rPr>
          <w:rFonts w:ascii="Verdana" w:hAnsi="Verdana"/>
          <w:sz w:val="24"/>
          <w:szCs w:val="24"/>
        </w:rPr>
        <w:t>Debido</w:t>
      </w:r>
      <w:r w:rsidR="001D0954" w:rsidRPr="00321A2C">
        <w:rPr>
          <w:rFonts w:ascii="Verdana" w:hAnsi="Verdana"/>
          <w:sz w:val="24"/>
          <w:szCs w:val="24"/>
        </w:rPr>
        <w:t xml:space="preserve"> Proceso, debe integrarse y observarse en cuanto a los principios y </w:t>
      </w:r>
      <w:proofErr w:type="spellStart"/>
      <w:r w:rsidR="001D0954" w:rsidRPr="00321A2C">
        <w:rPr>
          <w:rFonts w:ascii="Verdana" w:hAnsi="Verdana"/>
          <w:sz w:val="24"/>
          <w:szCs w:val="24"/>
        </w:rPr>
        <w:t>subprincipios</w:t>
      </w:r>
      <w:proofErr w:type="spellEnd"/>
      <w:r w:rsidR="001D0954" w:rsidRPr="00321A2C">
        <w:rPr>
          <w:rFonts w:ascii="Verdana" w:hAnsi="Verdana"/>
          <w:sz w:val="24"/>
          <w:szCs w:val="24"/>
        </w:rPr>
        <w:t xml:space="preserve"> que lo conforman en todo proceso sancionatorio </w:t>
      </w:r>
      <w:r w:rsidR="001D0954" w:rsidRPr="0089218A">
        <w:rPr>
          <w:rFonts w:ascii="Verdana" w:hAnsi="Verdana"/>
          <w:b/>
          <w:sz w:val="24"/>
          <w:szCs w:val="24"/>
        </w:rPr>
        <w:t>o que pueda culminar con la supresión de derechos subjetivos</w:t>
      </w:r>
      <w:r w:rsidR="001D0954" w:rsidRPr="00321A2C">
        <w:rPr>
          <w:rFonts w:ascii="Verdana" w:hAnsi="Verdana"/>
          <w:sz w:val="24"/>
          <w:szCs w:val="24"/>
        </w:rPr>
        <w:t>. El principio de Derecho a la Defensa, el de intimación, imputación, audiencia, acceso al expediente y comunicación oportuna de la sanción que se acuerde</w:t>
      </w:r>
      <w:r w:rsidR="001D0954">
        <w:rPr>
          <w:rFonts w:ascii="Verdana" w:hAnsi="Verdana"/>
          <w:sz w:val="24"/>
          <w:szCs w:val="24"/>
        </w:rPr>
        <w:t xml:space="preserve"> o de la supresión de un derecho determinado</w:t>
      </w:r>
      <w:r w:rsidR="001D0954" w:rsidRPr="00321A2C">
        <w:rPr>
          <w:rFonts w:ascii="Verdana" w:hAnsi="Verdana"/>
          <w:sz w:val="24"/>
          <w:szCs w:val="24"/>
        </w:rPr>
        <w:t xml:space="preserve">, son entre otros, integrantes del debido proceso, </w:t>
      </w:r>
      <w:r w:rsidR="001D0954" w:rsidRPr="0089218A">
        <w:rPr>
          <w:rFonts w:ascii="Verdana" w:hAnsi="Verdana"/>
          <w:b/>
          <w:sz w:val="24"/>
          <w:szCs w:val="24"/>
        </w:rPr>
        <w:t>garantía de rango constitucional consagrada en los artículos 39 y 41 de la Constitución Política</w:t>
      </w:r>
      <w:r w:rsidR="001D0954" w:rsidRPr="00321A2C">
        <w:rPr>
          <w:rFonts w:ascii="Verdana" w:hAnsi="Verdana"/>
          <w:sz w:val="24"/>
          <w:szCs w:val="24"/>
        </w:rPr>
        <w:t xml:space="preserve"> y deben ser observados taxativamente por parte de la Administración.</w:t>
      </w:r>
    </w:p>
    <w:p w:rsidR="001D0954" w:rsidRPr="00321A2C" w:rsidRDefault="001D0954" w:rsidP="001D0954">
      <w:pPr>
        <w:spacing w:after="120"/>
        <w:jc w:val="both"/>
        <w:rPr>
          <w:rFonts w:ascii="Verdana" w:hAnsi="Verdana"/>
          <w:sz w:val="24"/>
          <w:szCs w:val="24"/>
        </w:rPr>
      </w:pPr>
      <w:r>
        <w:rPr>
          <w:rFonts w:ascii="Verdana" w:hAnsi="Verdana"/>
          <w:sz w:val="24"/>
          <w:szCs w:val="24"/>
        </w:rPr>
        <w:t>L</w:t>
      </w:r>
      <w:r w:rsidRPr="00321A2C">
        <w:rPr>
          <w:rFonts w:ascii="Verdana" w:hAnsi="Verdana"/>
          <w:sz w:val="24"/>
          <w:szCs w:val="24"/>
        </w:rPr>
        <w:t>a Sala Constitucional en su voto N° 5469-95 de las 18:03 horas del 4 de octubre de 1995, señaló, con relación a las garantías que debe observar la Administración en los procedimientos administrativos sancionatorios lo siguiente:</w:t>
      </w:r>
    </w:p>
    <w:p w:rsidR="001D0954" w:rsidRPr="00321A2C" w:rsidRDefault="001D0954" w:rsidP="001D0954">
      <w:pPr>
        <w:spacing w:after="120"/>
        <w:ind w:left="397"/>
        <w:jc w:val="both"/>
        <w:rPr>
          <w:rFonts w:ascii="Verdana" w:hAnsi="Verdana"/>
          <w:i/>
        </w:rPr>
      </w:pPr>
      <w:r w:rsidRPr="00321A2C">
        <w:rPr>
          <w:rFonts w:ascii="Verdana" w:hAnsi="Verdana"/>
          <w:i/>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1D0954" w:rsidRPr="00B21FCB" w:rsidRDefault="001D0954" w:rsidP="001D0954">
      <w:pPr>
        <w:jc w:val="both"/>
        <w:rPr>
          <w:rFonts w:ascii="Verdana" w:hAnsi="Verdana"/>
          <w:b/>
          <w:sz w:val="22"/>
          <w:szCs w:val="22"/>
        </w:rPr>
      </w:pPr>
    </w:p>
    <w:p w:rsidR="001D0954" w:rsidRPr="00BE0C78" w:rsidRDefault="001D0954" w:rsidP="001D0954">
      <w:pPr>
        <w:jc w:val="both"/>
        <w:rPr>
          <w:rFonts w:ascii="Verdana" w:hAnsi="Verdana"/>
          <w:sz w:val="24"/>
          <w:szCs w:val="24"/>
        </w:rPr>
      </w:pPr>
      <w:r w:rsidRPr="00BE0C78">
        <w:rPr>
          <w:rFonts w:ascii="Verdana" w:hAnsi="Verdana"/>
          <w:sz w:val="24"/>
          <w:szCs w:val="24"/>
        </w:rPr>
        <w:t>Más recientemente la misma Sala Constitucional ha indicado sobre el mismo tema en su sentencia 000884 de las nueve horas cuarenta minutos del veinticuatro  de enero de dos mil catorce lo siguiente:</w:t>
      </w:r>
    </w:p>
    <w:p w:rsidR="001D0954" w:rsidRDefault="001D0954" w:rsidP="001D0954">
      <w:pPr>
        <w:jc w:val="both"/>
        <w:rPr>
          <w:rFonts w:ascii="Verdana" w:hAnsi="Verdana"/>
          <w:i/>
          <w:sz w:val="22"/>
          <w:szCs w:val="22"/>
        </w:rPr>
      </w:pPr>
    </w:p>
    <w:p w:rsidR="001D0954" w:rsidRPr="00843823" w:rsidRDefault="001D0954" w:rsidP="001D0954">
      <w:pPr>
        <w:ind w:left="397"/>
        <w:jc w:val="both"/>
        <w:rPr>
          <w:rFonts w:ascii="Verdana" w:hAnsi="Verdana"/>
          <w:i/>
        </w:rPr>
      </w:pPr>
    </w:p>
    <w:p w:rsidR="001D0954" w:rsidRPr="00843823" w:rsidRDefault="001D0954" w:rsidP="001D0954">
      <w:pPr>
        <w:ind w:left="397"/>
        <w:jc w:val="both"/>
        <w:rPr>
          <w:rFonts w:ascii="Verdana" w:hAnsi="Verdana"/>
          <w:i/>
        </w:rPr>
      </w:pPr>
      <w:r w:rsidRPr="00843823">
        <w:rPr>
          <w:rFonts w:ascii="Verdana" w:hAnsi="Verdana"/>
          <w:bCs/>
          <w:i/>
        </w:rPr>
        <w:t>“Sobre el debido proceso constitucional.</w:t>
      </w:r>
      <w:r w:rsidRPr="00843823">
        <w:rPr>
          <w:rFonts w:ascii="Verdana" w:hAnsi="Verdana"/>
          <w:i/>
        </w:rPr>
        <w:t> Este Tribunal Constitucional en reiteradas ocasiones ha examinado los elementos básicos constitutivos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constitucional en sede administrativa. Fundamentalmente a partir de la sentencia #15-90 de las dieciséis horas cuarenta y cinco minutos del cinco de enero de mil novecientos noventa, y en repetidos pronunciamientos subsecuentes, se ha dicho lo siguiente:</w:t>
      </w:r>
    </w:p>
    <w:p w:rsidR="001D0954" w:rsidRPr="00843823" w:rsidRDefault="001D0954" w:rsidP="001D0954">
      <w:pPr>
        <w:ind w:left="397"/>
        <w:jc w:val="both"/>
        <w:rPr>
          <w:rFonts w:ascii="Verdana" w:hAnsi="Verdana"/>
          <w:i/>
        </w:rPr>
      </w:pPr>
      <w:r w:rsidRPr="00843823">
        <w:rPr>
          <w:rFonts w:ascii="Verdana" w:hAnsi="Verdana"/>
          <w:i/>
          <w:iCs/>
        </w:rPr>
        <w:t>“(...) el derecho de defensa garantizado por el artículo 39 de la Constitución Política y por consiguiente el principio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contenido en el artículo 41 de nuestra Carta Fundamental, o como suele llamársele en doctrina, principio de 'bilateralidad de la audiencia'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w:t>
      </w:r>
      <w:r w:rsidRPr="00843823">
        <w:rPr>
          <w:rFonts w:ascii="Verdana" w:hAnsi="Verdana"/>
          <w:bCs/>
          <w:i/>
          <w:iCs/>
        </w:rPr>
        <w:t>legal</w:t>
      </w:r>
      <w:r w:rsidRPr="00843823">
        <w:rPr>
          <w:rFonts w:ascii="Verdana" w:hAnsi="Verdana"/>
          <w:i/>
          <w:iCs/>
        </w:rPr>
        <w:t xml:space="preserve">' o 'principio de contradicción' (...) se ha sintetizado así: a) Notificación al interesado del carácter y fines del </w:t>
      </w:r>
      <w:r w:rsidRPr="00843823">
        <w:rPr>
          <w:rFonts w:ascii="Verdana" w:hAnsi="Verdana"/>
          <w:i/>
          <w:iCs/>
        </w:rPr>
        <w:lastRenderedPageBreak/>
        <w:t>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1D0954" w:rsidRPr="00843823" w:rsidRDefault="001D0954" w:rsidP="001D0954">
      <w:pPr>
        <w:ind w:left="397"/>
        <w:jc w:val="both"/>
        <w:rPr>
          <w:rFonts w:ascii="Verdana" w:hAnsi="Verdana"/>
          <w:i/>
        </w:rPr>
      </w:pPr>
      <w:r w:rsidRPr="00843823">
        <w:rPr>
          <w:rFonts w:ascii="Verdana" w:hAnsi="Verdana"/>
          <w:bCs/>
          <w:i/>
        </w:rPr>
        <w:t>III.-</w:t>
      </w:r>
    </w:p>
    <w:p w:rsidR="001D0954" w:rsidRPr="00843823" w:rsidRDefault="001D0954" w:rsidP="001D0954">
      <w:pPr>
        <w:ind w:left="397"/>
        <w:jc w:val="both"/>
        <w:rPr>
          <w:rFonts w:ascii="Verdana" w:hAnsi="Verdana"/>
          <w:i/>
        </w:rPr>
      </w:pPr>
      <w:r w:rsidRPr="00843823">
        <w:rPr>
          <w:rFonts w:ascii="Verdana" w:hAnsi="Verdana"/>
          <w:bCs/>
          <w:i/>
        </w:rPr>
        <w:t xml:space="preserve">Sobe la trascendencia de las violaciones </w:t>
      </w:r>
      <w:proofErr w:type="spellStart"/>
      <w:r w:rsidRPr="00843823">
        <w:rPr>
          <w:rFonts w:ascii="Verdana" w:hAnsi="Verdana"/>
          <w:bCs/>
          <w:i/>
        </w:rPr>
        <w:t>residenciables</w:t>
      </w:r>
      <w:proofErr w:type="spellEnd"/>
      <w:r w:rsidRPr="00843823">
        <w:rPr>
          <w:rFonts w:ascii="Verdana" w:hAnsi="Verdana"/>
          <w:bCs/>
          <w:i/>
        </w:rPr>
        <w:t xml:space="preserve"> en esta jurisdicción. </w:t>
      </w:r>
      <w:r w:rsidRPr="00843823">
        <w:rPr>
          <w:rFonts w:ascii="Verdana" w:hAnsi="Verdana"/>
          <w:i/>
        </w:rPr>
        <w:t>De otra parte, la Sala también ha expresado -al momento de precisar su ámbito de competencia- que en materia de </w:t>
      </w:r>
      <w:r w:rsidRPr="00843823">
        <w:rPr>
          <w:rFonts w:ascii="Verdana" w:hAnsi="Verdana"/>
          <w:bCs/>
          <w:i/>
        </w:rPr>
        <w:t>debido proceso</w:t>
      </w:r>
      <w:r w:rsidRPr="00843823">
        <w:rPr>
          <w:rFonts w:ascii="Verdana" w:hAnsi="Verdana"/>
          <w:i/>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que colocan al administrado en un evidente estado de indefensión. De esta manera, no toda infracción a las normas de procedimiento se convierte, </w:t>
      </w:r>
      <w:r w:rsidRPr="00843823">
        <w:rPr>
          <w:rFonts w:ascii="Verdana" w:hAnsi="Verdana"/>
          <w:i/>
          <w:iCs/>
        </w:rPr>
        <w:t>per se</w:t>
      </w:r>
      <w:r w:rsidRPr="00843823">
        <w:rPr>
          <w:rFonts w:ascii="Verdana" w:hAnsi="Verdana"/>
          <w:i/>
        </w:rPr>
        <w:t>, en una violación de relevancia constitucional, amparable en esta sede. Por el contrario, el amparo tan sólo procede, </w:t>
      </w:r>
      <w:r w:rsidRPr="00843823">
        <w:rPr>
          <w:rFonts w:ascii="Verdana" w:hAnsi="Verdana"/>
          <w:bCs/>
          <w:i/>
        </w:rPr>
        <w:t>debido</w:t>
      </w:r>
      <w:r w:rsidRPr="00843823">
        <w:rPr>
          <w:rFonts w:ascii="Verdana" w:hAnsi="Verdana"/>
          <w:i/>
        </w:rPr>
        <w:t xml:space="preserve"> a la </w:t>
      </w:r>
      <w:proofErr w:type="spellStart"/>
      <w:r w:rsidRPr="00843823">
        <w:rPr>
          <w:rFonts w:ascii="Verdana" w:hAnsi="Verdana"/>
          <w:i/>
        </w:rPr>
        <w:t>sumariedad</w:t>
      </w:r>
      <w:proofErr w:type="spellEnd"/>
      <w:r w:rsidRPr="00843823">
        <w:rPr>
          <w:rFonts w:ascii="Verdana" w:hAnsi="Verdana"/>
          <w:i/>
        </w:rPr>
        <w:t xml:space="preserve"> que lo caracteriza, ante violaciones graves que conculquen o amenacen conculcar, de forma directa y efectiva el derecho de defensa o 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w:t>
      </w:r>
      <w:r>
        <w:rPr>
          <w:rFonts w:ascii="Verdana" w:hAnsi="Verdana"/>
          <w:i/>
        </w:rPr>
        <w:t>”</w:t>
      </w:r>
      <w:r w:rsidRPr="00843823">
        <w:rPr>
          <w:rFonts w:ascii="Verdana" w:hAnsi="Verdana"/>
          <w:i/>
        </w:rPr>
        <w:t>. </w:t>
      </w:r>
    </w:p>
    <w:p w:rsidR="001D0954" w:rsidRPr="00230FCB" w:rsidRDefault="001D0954" w:rsidP="001D0954">
      <w:pPr>
        <w:jc w:val="both"/>
        <w:rPr>
          <w:rFonts w:ascii="Verdana" w:hAnsi="Verdana"/>
          <w:sz w:val="22"/>
          <w:szCs w:val="22"/>
        </w:rPr>
      </w:pPr>
    </w:p>
    <w:p w:rsidR="001D0954" w:rsidRPr="00E61AEA" w:rsidRDefault="001D0954" w:rsidP="001D0954">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1D0954" w:rsidRPr="00E61AEA" w:rsidRDefault="001D0954" w:rsidP="001D0954">
      <w:pPr>
        <w:jc w:val="both"/>
        <w:rPr>
          <w:rFonts w:ascii="Verdana" w:hAnsi="Verdana"/>
          <w:sz w:val="22"/>
          <w:szCs w:val="22"/>
        </w:rPr>
      </w:pPr>
    </w:p>
    <w:p w:rsidR="001D0954" w:rsidRDefault="001D0954" w:rsidP="001D0954">
      <w:pPr>
        <w:jc w:val="both"/>
        <w:rPr>
          <w:rFonts w:ascii="Verdana" w:hAnsi="Verdana"/>
          <w:i/>
          <w:sz w:val="22"/>
          <w:szCs w:val="22"/>
        </w:rPr>
      </w:pPr>
      <w:r w:rsidRPr="00E61AEA">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1D0954" w:rsidRDefault="001D0954" w:rsidP="001D0954">
      <w:pPr>
        <w:jc w:val="both"/>
        <w:rPr>
          <w:rFonts w:ascii="Verdana" w:hAnsi="Verdana"/>
          <w:i/>
          <w:sz w:val="22"/>
          <w:szCs w:val="22"/>
        </w:rPr>
      </w:pPr>
    </w:p>
    <w:p w:rsidR="001D0954" w:rsidRPr="00E61AEA" w:rsidRDefault="001D0954" w:rsidP="001D0954">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 xml:space="preserve">a) Los actos que impongan </w:t>
      </w:r>
      <w:r w:rsidRPr="00E61AEA">
        <w:rPr>
          <w:rFonts w:ascii="Verdana" w:eastAsia="MS Mincho" w:hAnsi="Verdana"/>
          <w:b/>
          <w:i/>
          <w:sz w:val="22"/>
          <w:szCs w:val="22"/>
        </w:rPr>
        <w:lastRenderedPageBreak/>
        <w:t>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1D0954" w:rsidRPr="00E61AEA" w:rsidRDefault="001D0954" w:rsidP="001D0954">
      <w:pPr>
        <w:autoSpaceDE w:val="0"/>
        <w:autoSpaceDN w:val="0"/>
        <w:adjustRightInd w:val="0"/>
        <w:jc w:val="both"/>
        <w:rPr>
          <w:rFonts w:ascii="Verdana" w:hAnsi="Verdana"/>
          <w:bCs/>
        </w:rPr>
      </w:pPr>
    </w:p>
    <w:p w:rsidR="001D0954" w:rsidRPr="00E61AEA" w:rsidRDefault="001D0954" w:rsidP="001D0954">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1D0954" w:rsidRPr="00E61AEA" w:rsidRDefault="001D0954" w:rsidP="001D0954">
      <w:pPr>
        <w:ind w:left="540" w:right="560"/>
        <w:jc w:val="both"/>
        <w:rPr>
          <w:rFonts w:ascii="Verdana" w:eastAsia="MS Mincho" w:hAnsi="Verdana"/>
          <w:i/>
          <w:sz w:val="22"/>
          <w:szCs w:val="22"/>
        </w:rPr>
      </w:pPr>
    </w:p>
    <w:p w:rsidR="001D0954" w:rsidRPr="00E61AEA" w:rsidRDefault="001D0954" w:rsidP="001D0954">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1D0954" w:rsidRPr="00E61AEA" w:rsidRDefault="001D0954" w:rsidP="001D0954">
      <w:pPr>
        <w:ind w:left="540" w:right="560"/>
        <w:jc w:val="both"/>
        <w:rPr>
          <w:rFonts w:ascii="Verdana" w:eastAsia="MS Mincho" w:hAnsi="Verdana"/>
          <w:i/>
          <w:sz w:val="22"/>
          <w:szCs w:val="22"/>
        </w:rPr>
      </w:pPr>
    </w:p>
    <w:p w:rsidR="001D0954" w:rsidRPr="00E61AEA" w:rsidRDefault="001D0954" w:rsidP="001D0954">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1D0954" w:rsidRPr="00E61AEA" w:rsidRDefault="001D0954" w:rsidP="001D0954">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1D0954" w:rsidRPr="00E61AEA" w:rsidRDefault="001D0954" w:rsidP="001D0954">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1D0954" w:rsidRPr="00E61AEA" w:rsidRDefault="001D0954" w:rsidP="001D0954">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1D0954" w:rsidRPr="00E61AEA" w:rsidRDefault="001D0954" w:rsidP="001D0954">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1D0954" w:rsidRPr="00E61AEA" w:rsidRDefault="001D0954" w:rsidP="001D0954">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1D0954" w:rsidRPr="00E61AEA" w:rsidRDefault="001D0954" w:rsidP="001D0954">
      <w:pPr>
        <w:ind w:left="540" w:right="560"/>
        <w:jc w:val="both"/>
        <w:rPr>
          <w:rFonts w:ascii="Verdana" w:eastAsia="MS Mincho" w:hAnsi="Verdana"/>
          <w:i/>
          <w:sz w:val="22"/>
          <w:szCs w:val="22"/>
        </w:rPr>
      </w:pPr>
    </w:p>
    <w:p w:rsidR="001D0954" w:rsidRDefault="001D0954" w:rsidP="001D0954">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1D0954" w:rsidRPr="00E61AEA" w:rsidRDefault="001D0954" w:rsidP="001D0954">
      <w:pPr>
        <w:ind w:left="540" w:right="560"/>
        <w:jc w:val="both"/>
        <w:rPr>
          <w:rFonts w:ascii="Verdana" w:hAnsi="Verdana"/>
          <w:sz w:val="22"/>
          <w:szCs w:val="22"/>
        </w:rPr>
      </w:pPr>
    </w:p>
    <w:p w:rsidR="001D0954" w:rsidRPr="00EF4495" w:rsidRDefault="001D0954" w:rsidP="001D0954">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1D0954" w:rsidRPr="00B1212C" w:rsidRDefault="001D0954" w:rsidP="001D0954">
      <w:pPr>
        <w:ind w:left="340" w:right="340"/>
        <w:jc w:val="both"/>
        <w:rPr>
          <w:rFonts w:ascii="Verdana" w:hAnsi="Verdana"/>
          <w:b/>
          <w:bCs/>
          <w:i/>
        </w:rPr>
      </w:pPr>
    </w:p>
    <w:p w:rsidR="001D0954" w:rsidRPr="00EF4495" w:rsidRDefault="001D0954" w:rsidP="001D0954">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w:t>
      </w:r>
      <w:r w:rsidRPr="005052FA">
        <w:rPr>
          <w:rFonts w:ascii="Verdana" w:hAnsi="Verdana"/>
          <w:bCs/>
          <w:i/>
          <w:sz w:val="18"/>
          <w:szCs w:val="18"/>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
    <w:p w:rsidR="0042207E" w:rsidRDefault="0042207E" w:rsidP="001D0954">
      <w:pPr>
        <w:jc w:val="both"/>
        <w:rPr>
          <w:rFonts w:ascii="Verdana" w:hAnsi="Verdana"/>
          <w:b/>
          <w:sz w:val="22"/>
          <w:szCs w:val="22"/>
        </w:rPr>
      </w:pPr>
    </w:p>
    <w:p w:rsidR="001D0954" w:rsidRDefault="001D0954" w:rsidP="001D0954">
      <w:pPr>
        <w:jc w:val="both"/>
        <w:rPr>
          <w:rFonts w:ascii="Verdana" w:hAnsi="Verdana"/>
          <w:b/>
          <w:sz w:val="22"/>
          <w:szCs w:val="22"/>
        </w:rPr>
      </w:pPr>
      <w:r w:rsidRPr="00CD367E">
        <w:rPr>
          <w:rFonts w:ascii="Verdana" w:hAnsi="Verdana"/>
          <w:b/>
          <w:sz w:val="22"/>
          <w:szCs w:val="22"/>
        </w:rPr>
        <w:t>DEL CASO CONCRETO</w:t>
      </w:r>
    </w:p>
    <w:p w:rsidR="001D0954" w:rsidRDefault="001D0954" w:rsidP="001D0954">
      <w:pPr>
        <w:jc w:val="both"/>
        <w:rPr>
          <w:rFonts w:ascii="Verdana" w:hAnsi="Verdana"/>
          <w:b/>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El acto admini</w:t>
      </w:r>
      <w:r w:rsidR="00180020">
        <w:rPr>
          <w:rFonts w:ascii="Verdana" w:hAnsi="Verdana"/>
          <w:sz w:val="22"/>
          <w:szCs w:val="22"/>
        </w:rPr>
        <w:t>strativo recurrido constituye un</w:t>
      </w:r>
      <w:r w:rsidRPr="0040625B">
        <w:rPr>
          <w:rFonts w:ascii="Verdana" w:hAnsi="Verdana"/>
          <w:sz w:val="22"/>
          <w:szCs w:val="22"/>
        </w:rPr>
        <w:t xml:space="preserve"> mecanismo cautelar y  temporal, que ha sido dictado por la Junta Directiva del Consejo de Transporte Público con el fin de mantener la continuidad  sin problema en el servicio público del transporte remunerado de personas, en la modalidad autobús.</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Si se analiza detenidamente el caso concreto, podemos determinar que nos encontramos ante un acto compuesto, el cual pa</w:t>
      </w:r>
      <w:r w:rsidR="00180020">
        <w:rPr>
          <w:rFonts w:ascii="Verdana" w:hAnsi="Verdana"/>
          <w:sz w:val="22"/>
          <w:szCs w:val="22"/>
        </w:rPr>
        <w:t>ra su eficacia requiere el r</w:t>
      </w:r>
      <w:r w:rsidRPr="0040625B">
        <w:rPr>
          <w:rFonts w:ascii="Verdana" w:hAnsi="Verdana"/>
          <w:sz w:val="22"/>
          <w:szCs w:val="22"/>
        </w:rPr>
        <w:t>efrendo por parte de la ARESEP.</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Se puede apreciar que el Consejo de Transporte Público, es qui</w:t>
      </w:r>
      <w:r w:rsidR="00180020">
        <w:rPr>
          <w:rFonts w:ascii="Verdana" w:hAnsi="Verdana"/>
          <w:sz w:val="22"/>
          <w:szCs w:val="22"/>
        </w:rPr>
        <w:t>en tiene la potestad técnica y l</w:t>
      </w:r>
      <w:r w:rsidRPr="0040625B">
        <w:rPr>
          <w:rFonts w:ascii="Verdana" w:hAnsi="Verdana"/>
          <w:sz w:val="22"/>
          <w:szCs w:val="22"/>
        </w:rPr>
        <w:t>egal de emitir el acto que renovó las concesiones, lo que en la realidad sucedió y procedió a la firma del contrato, pero el acto no puede perfeccionarse ni ser ejecutable hasta tanto la ARESEP, no proceda al refrendo del mismo.</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 xml:space="preserve">Dicho en otras palabras al estar ante un acto compuesto la recurrente no puede llamarse concesionaria, pues el acto emitido no se ha perfeccionado para su efectividad y por lo tanto debe la Administración garantizar mientras se da el </w:t>
      </w:r>
      <w:r w:rsidRPr="0040625B">
        <w:rPr>
          <w:rFonts w:ascii="Verdana" w:hAnsi="Verdana"/>
          <w:sz w:val="22"/>
          <w:szCs w:val="22"/>
        </w:rPr>
        <w:lastRenderedPageBreak/>
        <w:t>refrendo por la instancia competente, que jurídicamente las empresas que prestan el servicio, estén autorizadas para hacerlo.</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El Consejo de Transporte Público, ha actuado respaldado con la normativa vigente es decir el artículo 25 inciso b) de la Ley 3503,  y  bajo el criterio vinculante de la Procuraduría General de la República, en su dictamen C-103-2015, por lo que en</w:t>
      </w:r>
      <w:r w:rsidR="00180020">
        <w:rPr>
          <w:rFonts w:ascii="Verdana" w:hAnsi="Verdana"/>
          <w:sz w:val="22"/>
          <w:szCs w:val="22"/>
        </w:rPr>
        <w:t xml:space="preserve"> ejercicio de sus facultades y p</w:t>
      </w:r>
      <w:r w:rsidRPr="0040625B">
        <w:rPr>
          <w:rFonts w:ascii="Verdana" w:hAnsi="Verdana"/>
          <w:sz w:val="22"/>
          <w:szCs w:val="22"/>
        </w:rPr>
        <w:t>otestades</w:t>
      </w:r>
      <w:r w:rsidR="00180020">
        <w:rPr>
          <w:rFonts w:ascii="Verdana" w:hAnsi="Verdana"/>
          <w:sz w:val="22"/>
          <w:szCs w:val="22"/>
        </w:rPr>
        <w:t>,</w:t>
      </w:r>
      <w:r w:rsidRPr="0040625B">
        <w:rPr>
          <w:rFonts w:ascii="Verdana" w:hAnsi="Verdana"/>
          <w:sz w:val="22"/>
          <w:szCs w:val="22"/>
        </w:rPr>
        <w:t xml:space="preserve"> en aras de la protección de la continuidad del servicio, emitió el acto impugnado.</w:t>
      </w:r>
    </w:p>
    <w:p w:rsidR="00F52D69" w:rsidRPr="0040625B" w:rsidRDefault="00F52D69" w:rsidP="00F52D69">
      <w:pPr>
        <w:pStyle w:val="Sinespaciado"/>
        <w:spacing w:line="276" w:lineRule="auto"/>
        <w:jc w:val="both"/>
        <w:rPr>
          <w:rFonts w:ascii="Verdana" w:hAnsi="Verdana"/>
          <w:sz w:val="22"/>
          <w:szCs w:val="22"/>
        </w:rPr>
      </w:pPr>
    </w:p>
    <w:p w:rsidR="00F52D69" w:rsidRPr="0040625B" w:rsidRDefault="00F52D69" w:rsidP="00F52D69">
      <w:pPr>
        <w:pStyle w:val="Sinespaciado"/>
        <w:spacing w:line="276" w:lineRule="auto"/>
        <w:jc w:val="both"/>
        <w:rPr>
          <w:rFonts w:ascii="Verdana" w:hAnsi="Verdana"/>
          <w:sz w:val="22"/>
          <w:szCs w:val="22"/>
        </w:rPr>
      </w:pPr>
      <w:r w:rsidRPr="0040625B">
        <w:rPr>
          <w:rFonts w:ascii="Verdana" w:hAnsi="Verdana"/>
          <w:sz w:val="22"/>
          <w:szCs w:val="22"/>
        </w:rPr>
        <w:t>La</w:t>
      </w:r>
      <w:r w:rsidR="00180020">
        <w:rPr>
          <w:rFonts w:ascii="Verdana" w:hAnsi="Verdana"/>
          <w:sz w:val="22"/>
          <w:szCs w:val="22"/>
        </w:rPr>
        <w:t xml:space="preserve"> Procuraduría general de la Repú</w:t>
      </w:r>
      <w:r w:rsidRPr="0040625B">
        <w:rPr>
          <w:rFonts w:ascii="Verdana" w:hAnsi="Verdana"/>
          <w:sz w:val="22"/>
          <w:szCs w:val="22"/>
        </w:rPr>
        <w:t>blica</w:t>
      </w:r>
      <w:r w:rsidR="00180020">
        <w:rPr>
          <w:rFonts w:ascii="Verdana" w:hAnsi="Verdana"/>
          <w:sz w:val="22"/>
          <w:szCs w:val="22"/>
        </w:rPr>
        <w:t>,</w:t>
      </w:r>
      <w:r w:rsidRPr="0040625B">
        <w:rPr>
          <w:rFonts w:ascii="Verdana" w:hAnsi="Verdana"/>
          <w:sz w:val="22"/>
          <w:szCs w:val="22"/>
        </w:rPr>
        <w:t xml:space="preserve"> a propósito de consulta realizada por el CTP, respecto a la procedencia de otorgar permiso temporal mientras se da el refrendo de los contratos de renovación de las concesiones 2014-2021 indicó en su dictamen </w:t>
      </w:r>
      <w:r w:rsidR="00180020">
        <w:rPr>
          <w:rFonts w:ascii="Verdana" w:hAnsi="Verdana"/>
          <w:sz w:val="22"/>
          <w:szCs w:val="22"/>
        </w:rPr>
        <w:t xml:space="preserve"> vinculante </w:t>
      </w:r>
      <w:r w:rsidRPr="0040625B">
        <w:rPr>
          <w:rFonts w:ascii="Verdana" w:hAnsi="Verdana"/>
          <w:sz w:val="22"/>
          <w:szCs w:val="22"/>
        </w:rPr>
        <w:t>C-103-2015 lo siguiente:</w:t>
      </w:r>
    </w:p>
    <w:p w:rsidR="00F52D69" w:rsidRPr="00ED04A2" w:rsidRDefault="00F52D69" w:rsidP="00F52D69">
      <w:pPr>
        <w:pStyle w:val="Sinespaciado"/>
        <w:spacing w:line="276" w:lineRule="auto"/>
        <w:jc w:val="both"/>
        <w:rPr>
          <w:rFonts w:ascii="Verdana" w:hAnsi="Verdana"/>
          <w:sz w:val="28"/>
          <w:szCs w:val="28"/>
        </w:rPr>
      </w:pPr>
    </w:p>
    <w:p w:rsidR="00F52D69" w:rsidRPr="00ED04A2" w:rsidRDefault="00F52D69" w:rsidP="00F52D69">
      <w:pPr>
        <w:pStyle w:val="Sinespaciado"/>
        <w:ind w:left="567" w:right="616"/>
        <w:jc w:val="both"/>
        <w:rPr>
          <w:rFonts w:ascii="Verdana" w:hAnsi="Verdana"/>
          <w:b/>
          <w:i/>
          <w:sz w:val="16"/>
          <w:szCs w:val="16"/>
        </w:rPr>
      </w:pPr>
      <w:r w:rsidRPr="00ED04A2">
        <w:rPr>
          <w:rFonts w:ascii="Verdana" w:hAnsi="Verdana"/>
          <w:b/>
          <w:i/>
          <w:sz w:val="16"/>
          <w:szCs w:val="16"/>
        </w:rPr>
        <w:t>…”B-. NECESIDAD DE GARANTIZAR LA CONTINUIDAD DEL SERVICIO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lang w:val="es-ES"/>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lang w:val="es-ES"/>
        </w:rPr>
        <w:t>“</w:t>
      </w:r>
      <w:r w:rsidRPr="00ED04A2">
        <w:rPr>
          <w:rFonts w:ascii="Verdana" w:hAnsi="Verdana"/>
          <w:i/>
          <w:iCs/>
          <w:sz w:val="16"/>
          <w:szCs w:val="16"/>
        </w:rPr>
        <w:t> Artículo 9.- Concesión o permiso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lang w:val="es-ES"/>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lang w:val="es-ES"/>
        </w:rPr>
      </w:pPr>
      <w:r w:rsidRPr="00ED04A2">
        <w:rPr>
          <w:rFonts w:ascii="Verdana" w:hAnsi="Verdana"/>
          <w:i/>
          <w:sz w:val="16"/>
          <w:szCs w:val="16"/>
          <w:lang w:val="es-ES"/>
        </w:rPr>
        <w:t>Empero, la regulación de la Ley de la ARESEP no excluye que la ley que regula un servicio en concreto disponga una forma específica de delegación, sin la cual no puede prestarse el servicio.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lastRenderedPageBreak/>
        <w:t>Permisos para Explotar el Servicio de Transporte Automotor de Personas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“Artículo 25.- </w:t>
      </w:r>
      <w:r w:rsidRPr="00ED04A2">
        <w:rPr>
          <w:rFonts w:ascii="Verdana" w:hAnsi="Verdana"/>
          <w:i/>
          <w:iCs/>
          <w:sz w:val="16"/>
          <w:szCs w:val="16"/>
          <w:lang w:val="es-ES"/>
        </w:rPr>
        <w:t>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lang w:val="es-ES"/>
        </w:rPr>
        <w:t>Para los efectos de la presente Ley, los permisos se clasifican en dos modalidades: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lang w:val="es-ES"/>
        </w:rPr>
        <w:t>a) Los permisos para servicios especiales de estudiantes, trabajadores y turismo.</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lang w:val="es-E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r w:rsidRPr="00ED04A2">
        <w:rPr>
          <w:rFonts w:ascii="Verdana" w:hAnsi="Verdana"/>
          <w:i/>
          <w:iCs/>
          <w:sz w:val="16"/>
          <w:szCs w:val="16"/>
        </w:rPr>
        <w:t>( Así reformado por el artículo único de la ley Nº 8826 de 5 de mayo de 2010)</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 xml:space="preserve">De lo allí regulado se desprende que los servicios regulares existentes pueden ser </w:t>
      </w:r>
      <w:proofErr w:type="spellStart"/>
      <w:r w:rsidRPr="00ED04A2">
        <w:rPr>
          <w:rFonts w:ascii="Verdana" w:hAnsi="Verdana"/>
          <w:i/>
          <w:sz w:val="16"/>
          <w:szCs w:val="16"/>
        </w:rPr>
        <w:t>permisionados</w:t>
      </w:r>
      <w:proofErr w:type="spellEnd"/>
      <w:r w:rsidRPr="00ED04A2">
        <w:rPr>
          <w:rFonts w:ascii="Verdana" w:hAnsi="Verdana"/>
          <w:i/>
          <w:sz w:val="16"/>
          <w:szCs w:val="16"/>
        </w:rPr>
        <w:t>.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lastRenderedPageBreak/>
        <w:t>e) El Ministerio de Obras Públicas y Transportes, en los casos contemplados en el inciso f) del artículo 5. G (…)”.</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 xml:space="preserve">“III.- El permiso para la explotación del servicio de transporte automotor de personas es esencialmente diferente a la concesión para explotar dicho servicio. El contenido, duración y la </w:t>
      </w:r>
      <w:r w:rsidRPr="00ED04A2">
        <w:rPr>
          <w:rFonts w:ascii="Verdana" w:hAnsi="Verdana"/>
          <w:i/>
          <w:iCs/>
          <w:sz w:val="16"/>
          <w:szCs w:val="16"/>
        </w:rPr>
        <w:lastRenderedPageBreak/>
        <w:t>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lastRenderedPageBreak/>
        <w:t>Principio de continuidad, fundamento  que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b/>
          <w:i/>
          <w:sz w:val="16"/>
          <w:szCs w:val="16"/>
        </w:rPr>
      </w:pPr>
      <w:r w:rsidRPr="00ED04A2">
        <w:rPr>
          <w:rFonts w:ascii="Verdana" w:hAnsi="Verdana"/>
          <w:b/>
          <w:i/>
          <w:sz w:val="16"/>
          <w:szCs w:val="16"/>
        </w:rPr>
        <w:t>CONCLUSIÓN:</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F52D69" w:rsidRPr="00ED04A2" w:rsidRDefault="00F52D69" w:rsidP="00F52D69">
      <w:pPr>
        <w:pStyle w:val="Sinespaciado"/>
        <w:ind w:left="567" w:right="616"/>
        <w:jc w:val="both"/>
        <w:rPr>
          <w:rFonts w:ascii="Verdana" w:hAnsi="Verdana"/>
          <w:i/>
          <w:sz w:val="16"/>
          <w:szCs w:val="16"/>
        </w:rPr>
      </w:pPr>
    </w:p>
    <w:p w:rsidR="00F52D69" w:rsidRPr="00ED04A2" w:rsidRDefault="00F52D69" w:rsidP="00F52D69">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ED04A2">
        <w:rPr>
          <w:rFonts w:ascii="Verdana" w:hAnsi="Verdana"/>
          <w:i/>
          <w:sz w:val="16"/>
          <w:szCs w:val="16"/>
        </w:rPr>
        <w:t>.”… (El resaltado es nuestro)</w:t>
      </w:r>
    </w:p>
    <w:p w:rsidR="00F52D69" w:rsidRPr="00ED04A2" w:rsidRDefault="00F52D69" w:rsidP="00F52D69">
      <w:pPr>
        <w:pStyle w:val="Sinespaciado"/>
        <w:spacing w:line="276" w:lineRule="auto"/>
        <w:jc w:val="both"/>
        <w:rPr>
          <w:rFonts w:ascii="Verdana" w:hAnsi="Verdana"/>
          <w:sz w:val="28"/>
          <w:szCs w:val="28"/>
        </w:rPr>
      </w:pPr>
    </w:p>
    <w:p w:rsidR="00F52D69" w:rsidRPr="0040625B" w:rsidRDefault="002A1AEA" w:rsidP="00F52D69">
      <w:pPr>
        <w:pStyle w:val="Sinespaciado"/>
        <w:spacing w:line="276" w:lineRule="auto"/>
        <w:jc w:val="both"/>
        <w:rPr>
          <w:rFonts w:ascii="Verdana" w:hAnsi="Verdana"/>
          <w:sz w:val="22"/>
          <w:szCs w:val="22"/>
          <w:lang w:val="es-MX"/>
        </w:rPr>
      </w:pPr>
      <w:r>
        <w:rPr>
          <w:rFonts w:ascii="Verdana" w:hAnsi="Verdana"/>
          <w:sz w:val="22"/>
          <w:szCs w:val="22"/>
        </w:rPr>
        <w:t xml:space="preserve">Respecto a </w:t>
      </w:r>
      <w:r w:rsidR="00F52D69" w:rsidRPr="0040625B">
        <w:rPr>
          <w:rFonts w:ascii="Verdana" w:hAnsi="Verdana"/>
          <w:sz w:val="22"/>
          <w:szCs w:val="22"/>
        </w:rPr>
        <w:t xml:space="preserve">la </w:t>
      </w:r>
      <w:proofErr w:type="spellStart"/>
      <w:r>
        <w:rPr>
          <w:rFonts w:ascii="Verdana" w:hAnsi="Verdana"/>
          <w:sz w:val="22"/>
          <w:szCs w:val="22"/>
        </w:rPr>
        <w:t>v</w:t>
      </w:r>
      <w:r w:rsidR="00F52D69" w:rsidRPr="0040625B">
        <w:rPr>
          <w:rFonts w:ascii="Verdana" w:hAnsi="Verdana"/>
          <w:sz w:val="22"/>
          <w:szCs w:val="22"/>
        </w:rPr>
        <w:t>inculancia</w:t>
      </w:r>
      <w:proofErr w:type="spellEnd"/>
      <w:r w:rsidR="00F52D69" w:rsidRPr="0040625B">
        <w:rPr>
          <w:rFonts w:ascii="Verdana" w:hAnsi="Verdana"/>
          <w:sz w:val="22"/>
          <w:szCs w:val="22"/>
        </w:rPr>
        <w:t xml:space="preserve"> de los </w:t>
      </w:r>
      <w:r>
        <w:rPr>
          <w:rFonts w:ascii="Verdana" w:hAnsi="Verdana"/>
          <w:sz w:val="22"/>
          <w:szCs w:val="22"/>
        </w:rPr>
        <w:t>d</w:t>
      </w:r>
      <w:r w:rsidR="00F52D69" w:rsidRPr="0040625B">
        <w:rPr>
          <w:rFonts w:ascii="Verdana" w:hAnsi="Verdana"/>
          <w:sz w:val="22"/>
          <w:szCs w:val="22"/>
        </w:rPr>
        <w:t xml:space="preserve">ictámenes de la Procuraduría General de la República, </w:t>
      </w:r>
      <w:r>
        <w:rPr>
          <w:rFonts w:ascii="Verdana" w:hAnsi="Verdana"/>
          <w:sz w:val="22"/>
          <w:szCs w:val="22"/>
        </w:rPr>
        <w:t xml:space="preserve">debe recordarse que </w:t>
      </w:r>
      <w:r w:rsidR="00F07599">
        <w:rPr>
          <w:rFonts w:ascii="Verdana" w:hAnsi="Verdana"/>
          <w:sz w:val="22"/>
          <w:szCs w:val="22"/>
        </w:rPr>
        <w:t xml:space="preserve">la misma tiene su sustento en </w:t>
      </w:r>
      <w:r>
        <w:rPr>
          <w:rFonts w:ascii="Verdana" w:hAnsi="Verdana"/>
          <w:sz w:val="22"/>
          <w:szCs w:val="22"/>
        </w:rPr>
        <w:t xml:space="preserve">el </w:t>
      </w:r>
      <w:r w:rsidR="00F52D69" w:rsidRPr="0040625B">
        <w:rPr>
          <w:rFonts w:ascii="Verdana" w:hAnsi="Verdana"/>
          <w:sz w:val="22"/>
          <w:szCs w:val="22"/>
          <w:lang w:val="es-MX"/>
        </w:rPr>
        <w:t xml:space="preserve"> Artículo 2 de la Ley Orgánica </w:t>
      </w:r>
      <w:r w:rsidR="00180020">
        <w:rPr>
          <w:rFonts w:ascii="Verdana" w:hAnsi="Verdana"/>
          <w:sz w:val="22"/>
          <w:szCs w:val="22"/>
          <w:lang w:val="es-MX"/>
        </w:rPr>
        <w:t>del A</w:t>
      </w:r>
      <w:r w:rsidR="00F07599">
        <w:rPr>
          <w:rFonts w:ascii="Verdana" w:hAnsi="Verdana"/>
          <w:sz w:val="22"/>
          <w:szCs w:val="22"/>
          <w:lang w:val="es-MX"/>
        </w:rPr>
        <w:t>bogado del Estado</w:t>
      </w:r>
      <w:r w:rsidR="0042207E">
        <w:rPr>
          <w:rFonts w:ascii="Verdana" w:hAnsi="Verdana"/>
          <w:sz w:val="22"/>
          <w:szCs w:val="22"/>
          <w:lang w:val="es-MX"/>
        </w:rPr>
        <w:t xml:space="preserve">, por lo tanto para el </w:t>
      </w:r>
      <w:r w:rsidR="00180020">
        <w:rPr>
          <w:rFonts w:ascii="Verdana" w:hAnsi="Verdana"/>
          <w:sz w:val="22"/>
          <w:szCs w:val="22"/>
        </w:rPr>
        <w:t>Consejo de Transporte Pú</w:t>
      </w:r>
      <w:r w:rsidR="0042207E">
        <w:rPr>
          <w:rFonts w:ascii="Verdana" w:hAnsi="Verdana"/>
          <w:sz w:val="22"/>
          <w:szCs w:val="22"/>
        </w:rPr>
        <w:t>blico sus criterios son de aplicación obligatoria.</w:t>
      </w:r>
    </w:p>
    <w:p w:rsidR="00F52D69" w:rsidRPr="0040625B" w:rsidRDefault="00F52D69" w:rsidP="00F52D69">
      <w:pPr>
        <w:pStyle w:val="Sinespaciado"/>
        <w:spacing w:line="276" w:lineRule="auto"/>
        <w:jc w:val="both"/>
        <w:rPr>
          <w:rFonts w:ascii="Verdana" w:hAnsi="Verdana"/>
          <w:sz w:val="22"/>
          <w:szCs w:val="22"/>
          <w:lang w:val="es-MX"/>
        </w:rPr>
      </w:pPr>
    </w:p>
    <w:p w:rsidR="00F52D69" w:rsidRPr="00E025BF" w:rsidRDefault="00F07599" w:rsidP="00180020">
      <w:pPr>
        <w:pStyle w:val="Sinespaciado"/>
        <w:ind w:right="51"/>
        <w:jc w:val="both"/>
        <w:rPr>
          <w:rFonts w:ascii="Verdana" w:hAnsi="Verdana"/>
          <w:sz w:val="22"/>
          <w:szCs w:val="22"/>
        </w:rPr>
      </w:pPr>
      <w:r w:rsidRPr="00E025BF">
        <w:rPr>
          <w:rFonts w:ascii="Verdana" w:hAnsi="Verdana"/>
          <w:sz w:val="22"/>
          <w:szCs w:val="22"/>
        </w:rPr>
        <w:t xml:space="preserve">El </w:t>
      </w:r>
      <w:r w:rsidR="00F52D69" w:rsidRPr="00E025BF">
        <w:rPr>
          <w:rFonts w:ascii="Verdana" w:hAnsi="Verdana"/>
          <w:sz w:val="22"/>
          <w:szCs w:val="22"/>
        </w:rPr>
        <w:t>Tribunal Contencioso Administrativo, Sección VIII</w:t>
      </w:r>
      <w:r w:rsidRPr="00E025BF">
        <w:rPr>
          <w:rFonts w:ascii="Verdana" w:hAnsi="Verdana"/>
          <w:sz w:val="22"/>
          <w:szCs w:val="22"/>
        </w:rPr>
        <w:t xml:space="preserve">, en su </w:t>
      </w:r>
      <w:r w:rsidRPr="00E025BF">
        <w:rPr>
          <w:rFonts w:ascii="Verdana" w:hAnsi="Verdana"/>
          <w:i/>
          <w:sz w:val="22"/>
          <w:szCs w:val="22"/>
        </w:rPr>
        <w:t>Resolución No. 00011-2008 de</w:t>
      </w:r>
      <w:r w:rsidR="00E025BF" w:rsidRPr="00E025BF">
        <w:rPr>
          <w:rFonts w:ascii="Verdana" w:hAnsi="Verdana"/>
          <w:i/>
          <w:sz w:val="22"/>
          <w:szCs w:val="22"/>
        </w:rPr>
        <w:t xml:space="preserve"> las quince horas cuarenta y cinco minutos del diecinueve de setiembre de dos mil ocho</w:t>
      </w:r>
      <w:r w:rsidR="00E025BF">
        <w:rPr>
          <w:rFonts w:ascii="Verdana" w:hAnsi="Verdana"/>
          <w:i/>
          <w:sz w:val="22"/>
          <w:szCs w:val="22"/>
        </w:rPr>
        <w:t xml:space="preserve">, ha indica respecto a la </w:t>
      </w:r>
      <w:proofErr w:type="spellStart"/>
      <w:r w:rsidR="00E025BF">
        <w:rPr>
          <w:rFonts w:ascii="Verdana" w:hAnsi="Verdana"/>
          <w:i/>
          <w:sz w:val="22"/>
          <w:szCs w:val="22"/>
        </w:rPr>
        <w:t>vinculancia</w:t>
      </w:r>
      <w:proofErr w:type="spellEnd"/>
      <w:r w:rsidR="00E025BF">
        <w:rPr>
          <w:rFonts w:ascii="Verdana" w:hAnsi="Verdana"/>
          <w:i/>
          <w:sz w:val="22"/>
          <w:szCs w:val="22"/>
        </w:rPr>
        <w:t xml:space="preserve"> de los dictámenes de la Procuraduría General de la República lo siguiente</w:t>
      </w:r>
      <w:r w:rsidR="00E025BF" w:rsidRPr="00E025BF">
        <w:rPr>
          <w:rFonts w:ascii="Verdana" w:hAnsi="Verdana"/>
          <w:i/>
          <w:sz w:val="22"/>
          <w:szCs w:val="22"/>
        </w:rPr>
        <w:t>.</w:t>
      </w:r>
    </w:p>
    <w:p w:rsidR="00F52D69" w:rsidRPr="0040625B" w:rsidRDefault="00F52D69" w:rsidP="00F52D69">
      <w:pPr>
        <w:pStyle w:val="Sinespaciado"/>
        <w:ind w:left="567" w:right="618"/>
        <w:jc w:val="both"/>
        <w:rPr>
          <w:rFonts w:ascii="Verdana" w:hAnsi="Verdana"/>
          <w:sz w:val="22"/>
          <w:szCs w:val="22"/>
        </w:rPr>
      </w:pPr>
    </w:p>
    <w:p w:rsidR="00F52D69" w:rsidRPr="00E025BF" w:rsidRDefault="00F52D69" w:rsidP="00F52D69">
      <w:pPr>
        <w:pStyle w:val="Sinespaciado"/>
        <w:ind w:left="567" w:right="618"/>
        <w:jc w:val="both"/>
        <w:rPr>
          <w:rFonts w:ascii="Verdana" w:hAnsi="Verdana"/>
          <w:i/>
          <w:sz w:val="16"/>
          <w:szCs w:val="16"/>
        </w:rPr>
      </w:pPr>
      <w:r w:rsidRPr="00E025BF">
        <w:rPr>
          <w:rFonts w:ascii="Verdana" w:hAnsi="Verdana"/>
          <w:i/>
          <w:sz w:val="16"/>
          <w:szCs w:val="16"/>
        </w:rPr>
        <w:t>…”2</w:t>
      </w:r>
      <w:r w:rsidRPr="00E025BF">
        <w:rPr>
          <w:rFonts w:ascii="Verdana" w:hAnsi="Verdana"/>
          <w:b/>
          <w:i/>
          <w:sz w:val="16"/>
          <w:szCs w:val="16"/>
        </w:rPr>
        <w:t>) SOBRE LA NATURALEZA VINCULANTE DE LOS DICTÁMENES EMITIDOS POR LA PROCURADURÍA GENERAL DE LA REPÚBLICA</w:t>
      </w:r>
      <w:r w:rsidRPr="00E025BF">
        <w:rPr>
          <w:rFonts w:ascii="Verdana" w:hAnsi="Verdana"/>
          <w:i/>
          <w:sz w:val="16"/>
          <w:szCs w:val="16"/>
        </w:rPr>
        <w:t xml:space="preserve">: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w:t>
      </w:r>
      <w:r w:rsidRPr="00E025BF">
        <w:rPr>
          <w:rFonts w:ascii="Verdana" w:hAnsi="Verdana"/>
          <w:i/>
          <w:sz w:val="16"/>
          <w:szCs w:val="16"/>
        </w:rPr>
        <w:lastRenderedPageBreak/>
        <w:t>"/Los dictámenes y pronunciamientos de la Procuraduría General constituyen jurisprudencia administrativa, y son de acatamiento obligatorio para la Administración Pública./ "</w:t>
      </w:r>
      <w:r w:rsidRPr="00E025BF">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E025BF">
        <w:rPr>
          <w:rFonts w:ascii="Verdana" w:hAnsi="Verdana"/>
          <w:i/>
          <w:sz w:val="16"/>
          <w:szCs w:val="16"/>
        </w:rPr>
        <w:t>”…</w:t>
      </w:r>
    </w:p>
    <w:p w:rsidR="00F52D69" w:rsidRPr="0040625B" w:rsidRDefault="00F52D69" w:rsidP="00F52D69">
      <w:pPr>
        <w:pStyle w:val="Textonotapie"/>
        <w:ind w:right="49"/>
        <w:jc w:val="both"/>
        <w:rPr>
          <w:rFonts w:ascii="Verdana" w:hAnsi="Verdana"/>
          <w:sz w:val="22"/>
          <w:szCs w:val="22"/>
          <w:lang w:val="es-CR"/>
        </w:rPr>
      </w:pPr>
    </w:p>
    <w:p w:rsidR="00F52D69" w:rsidRPr="0040625B" w:rsidRDefault="00F52D69" w:rsidP="00F52D69">
      <w:pPr>
        <w:pStyle w:val="Sinespaciado"/>
        <w:spacing w:line="276" w:lineRule="auto"/>
        <w:jc w:val="both"/>
        <w:rPr>
          <w:rFonts w:ascii="Verdana" w:hAnsi="Verdana"/>
          <w:sz w:val="22"/>
          <w:szCs w:val="22"/>
          <w:lang w:val="es-MX"/>
        </w:rPr>
      </w:pPr>
    </w:p>
    <w:p w:rsidR="009F062D" w:rsidRDefault="00F52D69" w:rsidP="00F52D69">
      <w:pPr>
        <w:jc w:val="both"/>
        <w:rPr>
          <w:rStyle w:val="CharacterStyle1"/>
          <w:rFonts w:ascii="Verdana" w:eastAsia="Calibri" w:hAnsi="Verdana"/>
          <w:spacing w:val="4"/>
          <w:sz w:val="22"/>
          <w:szCs w:val="22"/>
        </w:rPr>
      </w:pPr>
      <w:r w:rsidRPr="0040625B">
        <w:rPr>
          <w:rStyle w:val="CharacterStyle1"/>
          <w:rFonts w:ascii="Verdana" w:eastAsia="Calibri" w:hAnsi="Verdana"/>
          <w:spacing w:val="4"/>
          <w:sz w:val="22"/>
          <w:szCs w:val="22"/>
        </w:rPr>
        <w:t xml:space="preserve">Visto todo lo anterior, lo actuado por la Junta Directiva del Consejo de Transporte Público al emitir </w:t>
      </w:r>
      <w:r w:rsidR="005150E6">
        <w:rPr>
          <w:rStyle w:val="CharacterStyle1"/>
          <w:rFonts w:ascii="Verdana" w:eastAsia="Calibri" w:hAnsi="Verdana"/>
          <w:spacing w:val="4"/>
          <w:sz w:val="22"/>
          <w:szCs w:val="22"/>
        </w:rPr>
        <w:t xml:space="preserve">el </w:t>
      </w:r>
      <w:r w:rsidR="005150E6" w:rsidRPr="005150E6">
        <w:rPr>
          <w:rStyle w:val="CharacterStyle1"/>
          <w:rFonts w:ascii="Verdana" w:eastAsia="Calibri" w:hAnsi="Verdana"/>
          <w:b/>
          <w:spacing w:val="4"/>
          <w:sz w:val="22"/>
          <w:szCs w:val="22"/>
        </w:rPr>
        <w:t>acuerdo</w:t>
      </w:r>
      <w:r w:rsidRPr="005150E6">
        <w:rPr>
          <w:rStyle w:val="CharacterStyle1"/>
          <w:rFonts w:ascii="Verdana" w:eastAsia="Calibri" w:hAnsi="Verdana"/>
          <w:b/>
          <w:spacing w:val="4"/>
          <w:sz w:val="22"/>
          <w:szCs w:val="22"/>
        </w:rPr>
        <w:t xml:space="preserve"> 8.1 de su Sesión No. 25-2015</w:t>
      </w:r>
      <w:r w:rsidRPr="0040625B">
        <w:rPr>
          <w:rStyle w:val="CharacterStyle1"/>
          <w:rFonts w:ascii="Verdana" w:eastAsia="Calibri" w:hAnsi="Verdana"/>
          <w:spacing w:val="4"/>
          <w:sz w:val="22"/>
          <w:szCs w:val="22"/>
        </w:rPr>
        <w:t xml:space="preserve">, se </w:t>
      </w:r>
      <w:r w:rsidR="009F062D">
        <w:rPr>
          <w:rStyle w:val="CharacterStyle1"/>
          <w:rFonts w:ascii="Verdana" w:eastAsia="Calibri" w:hAnsi="Verdana"/>
          <w:spacing w:val="4"/>
          <w:sz w:val="22"/>
          <w:szCs w:val="22"/>
        </w:rPr>
        <w:t xml:space="preserve">sustenta en la necesidad de mantener a los prestatarios del servicio </w:t>
      </w:r>
      <w:r w:rsidR="00857F5C">
        <w:rPr>
          <w:rStyle w:val="CharacterStyle1"/>
          <w:rFonts w:ascii="Verdana" w:eastAsia="Calibri" w:hAnsi="Verdana"/>
          <w:spacing w:val="4"/>
          <w:sz w:val="22"/>
          <w:szCs w:val="22"/>
        </w:rPr>
        <w:t>bajo la condición de permisionarios del servicio, toda vez que el acto de renovación de concesiones no ha surtido plena ejecutoriedad y efectividad, al no estar refrendado por la ARESEP y la necesidad inminente de garantizar la continuidad del servicio</w:t>
      </w:r>
      <w:r w:rsidRPr="0040625B">
        <w:rPr>
          <w:rStyle w:val="CharacterStyle1"/>
          <w:rFonts w:ascii="Verdana" w:eastAsia="Calibri" w:hAnsi="Verdana"/>
          <w:spacing w:val="4"/>
          <w:sz w:val="22"/>
          <w:szCs w:val="22"/>
        </w:rPr>
        <w:t>.</w:t>
      </w:r>
    </w:p>
    <w:p w:rsidR="009F062D" w:rsidRDefault="009F062D" w:rsidP="00F52D69">
      <w:pPr>
        <w:jc w:val="both"/>
        <w:rPr>
          <w:rStyle w:val="CharacterStyle1"/>
          <w:rFonts w:ascii="Verdana" w:eastAsia="Calibri" w:hAnsi="Verdana"/>
          <w:spacing w:val="4"/>
          <w:sz w:val="22"/>
          <w:szCs w:val="22"/>
        </w:rPr>
      </w:pPr>
    </w:p>
    <w:p w:rsidR="009F062D" w:rsidRDefault="00331587" w:rsidP="00F52D69">
      <w:pPr>
        <w:jc w:val="both"/>
        <w:rPr>
          <w:rStyle w:val="CharacterStyle1"/>
          <w:rFonts w:ascii="Verdana" w:eastAsia="Calibri" w:hAnsi="Verdana"/>
          <w:spacing w:val="4"/>
          <w:sz w:val="22"/>
          <w:szCs w:val="22"/>
        </w:rPr>
      </w:pPr>
      <w:r>
        <w:rPr>
          <w:rStyle w:val="CharacterStyle1"/>
          <w:rFonts w:ascii="Verdana" w:eastAsia="Calibri" w:hAnsi="Verdana"/>
          <w:spacing w:val="4"/>
          <w:sz w:val="22"/>
          <w:szCs w:val="22"/>
        </w:rPr>
        <w:t>Se tiene claro por este Tribunal además</w:t>
      </w:r>
      <w:r w:rsidR="0042207E">
        <w:rPr>
          <w:rStyle w:val="CharacterStyle1"/>
          <w:rFonts w:ascii="Verdana" w:eastAsia="Calibri" w:hAnsi="Verdana"/>
          <w:spacing w:val="4"/>
          <w:sz w:val="22"/>
          <w:szCs w:val="22"/>
        </w:rPr>
        <w:t>,</w:t>
      </w:r>
      <w:r>
        <w:rPr>
          <w:rStyle w:val="CharacterStyle1"/>
          <w:rFonts w:ascii="Verdana" w:eastAsia="Calibri" w:hAnsi="Verdana"/>
          <w:spacing w:val="4"/>
          <w:sz w:val="22"/>
          <w:szCs w:val="22"/>
        </w:rPr>
        <w:t xml:space="preserve"> que el acto impugnado si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9F062D" w:rsidRDefault="009F062D" w:rsidP="00F52D69">
      <w:pPr>
        <w:jc w:val="both"/>
        <w:rPr>
          <w:rStyle w:val="CharacterStyle1"/>
          <w:rFonts w:ascii="Verdana" w:eastAsia="Calibri" w:hAnsi="Verdana"/>
          <w:spacing w:val="4"/>
          <w:sz w:val="22"/>
          <w:szCs w:val="22"/>
        </w:rPr>
      </w:pPr>
    </w:p>
    <w:p w:rsidR="00F52D69" w:rsidRPr="0040625B" w:rsidRDefault="003F0C6C" w:rsidP="00F52D69">
      <w:pPr>
        <w:jc w:val="both"/>
        <w:rPr>
          <w:rFonts w:ascii="Verdana" w:hAnsi="Verdana"/>
          <w:sz w:val="22"/>
          <w:szCs w:val="22"/>
          <w:lang w:val="es-ES"/>
        </w:rPr>
      </w:pPr>
      <w:r>
        <w:rPr>
          <w:rStyle w:val="CharacterStyle1"/>
          <w:rFonts w:ascii="Verdana" w:eastAsia="Calibri" w:hAnsi="Verdana"/>
          <w:spacing w:val="4"/>
          <w:sz w:val="22"/>
          <w:szCs w:val="22"/>
        </w:rPr>
        <w:t xml:space="preserve">No se encuentran vicios de nulidad que conlleven a la necesaria anulación del acto administrativo, ni tampoco se considera que </w:t>
      </w:r>
      <w:r w:rsidR="001D5B5B">
        <w:rPr>
          <w:rStyle w:val="CharacterStyle1"/>
          <w:rFonts w:ascii="Verdana" w:eastAsia="Calibri" w:hAnsi="Verdana"/>
          <w:spacing w:val="4"/>
          <w:sz w:val="22"/>
          <w:szCs w:val="22"/>
        </w:rPr>
        <w:t>se esté</w:t>
      </w:r>
      <w:r>
        <w:rPr>
          <w:rStyle w:val="CharacterStyle1"/>
          <w:rFonts w:ascii="Verdana" w:eastAsia="Calibri" w:hAnsi="Verdana"/>
          <w:spacing w:val="4"/>
          <w:sz w:val="22"/>
          <w:szCs w:val="22"/>
        </w:rPr>
        <w:t xml:space="preserve"> en presencia de un perjuicio a derechos adquiridos de la recurrente, pues ésta no ha adquirido aún la</w:t>
      </w:r>
      <w:r w:rsidR="001D5B5B">
        <w:rPr>
          <w:rStyle w:val="CharacterStyle1"/>
          <w:rFonts w:ascii="Verdana" w:eastAsia="Calibri" w:hAnsi="Verdana"/>
          <w:spacing w:val="4"/>
          <w:sz w:val="22"/>
          <w:szCs w:val="22"/>
        </w:rPr>
        <w:t xml:space="preserve"> condición de concesionaria porque</w:t>
      </w:r>
      <w:r>
        <w:rPr>
          <w:rStyle w:val="CharacterStyle1"/>
          <w:rFonts w:ascii="Verdana" w:eastAsia="Calibri" w:hAnsi="Verdana"/>
          <w:spacing w:val="4"/>
          <w:sz w:val="22"/>
          <w:szCs w:val="22"/>
        </w:rPr>
        <w:t xml:space="preserve"> el acto administrativo emitido por el Consejo de Transporte Público está sujeto a refrendo y el acto recurrido le otorga precisamente la condición temporal de permisionario mientras adquiere plena efectividad el acto de </w:t>
      </w:r>
      <w:r w:rsidR="001D5B5B">
        <w:rPr>
          <w:rStyle w:val="CharacterStyle1"/>
          <w:rFonts w:ascii="Verdana" w:eastAsia="Calibri" w:hAnsi="Verdana"/>
          <w:spacing w:val="4"/>
          <w:sz w:val="22"/>
          <w:szCs w:val="22"/>
        </w:rPr>
        <w:t>renovación d</w:t>
      </w:r>
      <w:r>
        <w:rPr>
          <w:rStyle w:val="CharacterStyle1"/>
          <w:rFonts w:ascii="Verdana" w:eastAsia="Calibri" w:hAnsi="Verdana"/>
          <w:spacing w:val="4"/>
          <w:sz w:val="22"/>
          <w:szCs w:val="22"/>
        </w:rPr>
        <w:t>e concesiones</w:t>
      </w:r>
      <w:r w:rsidR="00F52D69" w:rsidRPr="0040625B">
        <w:rPr>
          <w:rStyle w:val="CharacterStyle1"/>
          <w:rFonts w:ascii="Verdana" w:eastAsia="Calibri" w:hAnsi="Verdana"/>
          <w:b/>
          <w:spacing w:val="4"/>
          <w:sz w:val="22"/>
          <w:szCs w:val="22"/>
        </w:rPr>
        <w:t>.</w:t>
      </w:r>
    </w:p>
    <w:p w:rsidR="001D0954" w:rsidRPr="00F52D69" w:rsidRDefault="001D0954" w:rsidP="001D0954">
      <w:pPr>
        <w:jc w:val="center"/>
        <w:rPr>
          <w:rFonts w:ascii="Verdana" w:hAnsi="Verdana"/>
          <w:b/>
          <w:sz w:val="22"/>
          <w:szCs w:val="22"/>
          <w:lang w:val="es-ES"/>
        </w:rPr>
      </w:pPr>
    </w:p>
    <w:p w:rsidR="001D0954" w:rsidRDefault="001D0954" w:rsidP="001D0954">
      <w:pPr>
        <w:jc w:val="center"/>
        <w:rPr>
          <w:rFonts w:ascii="Verdana" w:hAnsi="Verdana"/>
          <w:b/>
          <w:sz w:val="22"/>
          <w:szCs w:val="22"/>
        </w:rPr>
      </w:pPr>
    </w:p>
    <w:p w:rsidR="00180020" w:rsidRDefault="00180020" w:rsidP="001D0954">
      <w:pPr>
        <w:jc w:val="center"/>
        <w:rPr>
          <w:rFonts w:ascii="Verdana" w:hAnsi="Verdana"/>
          <w:b/>
          <w:sz w:val="22"/>
          <w:szCs w:val="22"/>
        </w:rPr>
      </w:pPr>
    </w:p>
    <w:p w:rsidR="001D0954" w:rsidRPr="00206B70" w:rsidRDefault="00180020" w:rsidP="001D0954">
      <w:pPr>
        <w:jc w:val="center"/>
        <w:rPr>
          <w:rFonts w:ascii="Verdana" w:hAnsi="Verdana"/>
          <w:b/>
          <w:sz w:val="22"/>
          <w:szCs w:val="22"/>
        </w:rPr>
      </w:pPr>
      <w:r>
        <w:rPr>
          <w:rFonts w:ascii="Verdana" w:hAnsi="Verdana"/>
          <w:b/>
          <w:sz w:val="22"/>
          <w:szCs w:val="22"/>
        </w:rPr>
        <w:t>POR TANTO</w:t>
      </w:r>
    </w:p>
    <w:p w:rsidR="001D0954" w:rsidRPr="00206B70" w:rsidRDefault="001D0954" w:rsidP="001D0954">
      <w:pPr>
        <w:jc w:val="center"/>
        <w:rPr>
          <w:rFonts w:ascii="Verdana" w:hAnsi="Verdana"/>
          <w:b/>
          <w:sz w:val="22"/>
          <w:szCs w:val="22"/>
        </w:rPr>
      </w:pPr>
    </w:p>
    <w:p w:rsidR="001D0954" w:rsidRPr="00206B70" w:rsidRDefault="001D0954" w:rsidP="001D0954">
      <w:pPr>
        <w:jc w:val="both"/>
        <w:rPr>
          <w:rFonts w:ascii="Verdana" w:hAnsi="Verdana"/>
          <w:b/>
          <w:sz w:val="22"/>
          <w:szCs w:val="22"/>
        </w:rPr>
      </w:pPr>
      <w:r w:rsidRPr="00206B70">
        <w:rPr>
          <w:rFonts w:ascii="Verdana" w:hAnsi="Verdana"/>
          <w:b/>
          <w:sz w:val="22"/>
          <w:szCs w:val="22"/>
        </w:rPr>
        <w:t xml:space="preserve">I.-  </w:t>
      </w:r>
      <w:r w:rsidRPr="00206B70">
        <w:rPr>
          <w:rFonts w:ascii="Verdana" w:hAnsi="Verdana"/>
          <w:sz w:val="22"/>
          <w:szCs w:val="22"/>
        </w:rPr>
        <w:t xml:space="preserve">Se declara </w:t>
      </w:r>
      <w:r w:rsidR="00D142DC">
        <w:rPr>
          <w:rFonts w:ascii="Verdana" w:hAnsi="Verdana"/>
          <w:sz w:val="22"/>
          <w:szCs w:val="22"/>
        </w:rPr>
        <w:t xml:space="preserve">sin </w:t>
      </w:r>
      <w:r w:rsidR="00D142DC" w:rsidRPr="00206B70">
        <w:rPr>
          <w:rFonts w:ascii="Verdana" w:hAnsi="Verdana"/>
          <w:sz w:val="22"/>
          <w:szCs w:val="22"/>
        </w:rPr>
        <w:t>lugar</w:t>
      </w:r>
      <w:r w:rsidR="00D142DC">
        <w:rPr>
          <w:rFonts w:ascii="Verdana" w:hAnsi="Verdana"/>
          <w:sz w:val="22"/>
          <w:szCs w:val="22"/>
        </w:rPr>
        <w:t xml:space="preserve"> por voto de mayoría, </w:t>
      </w:r>
      <w:r w:rsidR="00D142DC" w:rsidRPr="00206B70">
        <w:rPr>
          <w:rFonts w:ascii="Verdana" w:hAnsi="Verdana"/>
          <w:sz w:val="22"/>
          <w:szCs w:val="22"/>
        </w:rPr>
        <w:t>el</w:t>
      </w:r>
      <w:r w:rsidRPr="00206B70">
        <w:rPr>
          <w:rFonts w:ascii="Verdana" w:hAnsi="Verdana"/>
          <w:sz w:val="22"/>
          <w:szCs w:val="22"/>
        </w:rPr>
        <w:t xml:space="preserve"> </w:t>
      </w:r>
      <w:r w:rsidRPr="00865369">
        <w:rPr>
          <w:rFonts w:ascii="Verdana" w:hAnsi="Verdana"/>
          <w:sz w:val="22"/>
          <w:szCs w:val="22"/>
        </w:rPr>
        <w:t>Recurso de Apelación</w:t>
      </w:r>
      <w:r>
        <w:rPr>
          <w:rFonts w:ascii="Verdana" w:hAnsi="Verdana"/>
          <w:sz w:val="22"/>
          <w:szCs w:val="22"/>
        </w:rPr>
        <w:t xml:space="preserve"> y Nulidad concomitante</w:t>
      </w:r>
      <w:r w:rsidRPr="00865369">
        <w:rPr>
          <w:rFonts w:ascii="Verdana" w:hAnsi="Verdana"/>
          <w:sz w:val="22"/>
          <w:szCs w:val="22"/>
        </w:rPr>
        <w:t xml:space="preserve">, presentado </w:t>
      </w:r>
      <w:r>
        <w:rPr>
          <w:rFonts w:ascii="Verdana" w:hAnsi="Verdana"/>
          <w:sz w:val="22"/>
          <w:szCs w:val="22"/>
        </w:rPr>
        <w:t>por</w:t>
      </w:r>
      <w:r w:rsidRPr="00865369">
        <w:rPr>
          <w:rFonts w:ascii="Verdana" w:hAnsi="Verdana"/>
          <w:b/>
          <w:sz w:val="22"/>
          <w:szCs w:val="22"/>
        </w:rPr>
        <w:t xml:space="preserve"> </w:t>
      </w:r>
      <w:r>
        <w:rPr>
          <w:rFonts w:ascii="Verdana" w:hAnsi="Verdana"/>
          <w:sz w:val="22"/>
          <w:szCs w:val="22"/>
        </w:rPr>
        <w:t>la empresa</w:t>
      </w:r>
      <w:r w:rsidRPr="00870493">
        <w:rPr>
          <w:rFonts w:ascii="Verdana" w:hAnsi="Verdana"/>
          <w:b/>
          <w:sz w:val="22"/>
          <w:szCs w:val="22"/>
        </w:rPr>
        <w:t xml:space="preserve"> </w:t>
      </w:r>
      <w:r w:rsidR="00351F1E">
        <w:rPr>
          <w:rFonts w:ascii="Verdana" w:hAnsi="Verdana"/>
          <w:b/>
          <w:sz w:val="22"/>
          <w:szCs w:val="22"/>
        </w:rPr>
        <w:t>D.S.R.</w:t>
      </w:r>
      <w:r w:rsidR="001356F2" w:rsidRPr="00ED04A2">
        <w:rPr>
          <w:rFonts w:ascii="Verdana" w:hAnsi="Verdana"/>
          <w:sz w:val="22"/>
          <w:szCs w:val="22"/>
        </w:rPr>
        <w:t xml:space="preserve">, por medio de su representante en calidad de Apoderado Generalísimo sin límite de suma, señor </w:t>
      </w:r>
      <w:r w:rsidR="00351F1E">
        <w:rPr>
          <w:rFonts w:ascii="Verdana" w:hAnsi="Verdana"/>
          <w:b/>
          <w:sz w:val="22"/>
          <w:szCs w:val="22"/>
        </w:rPr>
        <w:t>L.G.G.</w:t>
      </w:r>
      <w:r w:rsidR="001356F2" w:rsidRPr="00ED04A2">
        <w:rPr>
          <w:rFonts w:ascii="Verdana" w:hAnsi="Verdana"/>
          <w:sz w:val="22"/>
          <w:szCs w:val="22"/>
        </w:rPr>
        <w:t xml:space="preserve">, contra el </w:t>
      </w:r>
      <w:r w:rsidR="001356F2" w:rsidRPr="00ED04A2">
        <w:rPr>
          <w:rFonts w:ascii="Verdana" w:hAnsi="Verdana"/>
          <w:b/>
          <w:sz w:val="22"/>
          <w:szCs w:val="22"/>
        </w:rPr>
        <w:t>acuerdo 8.1 de la Sesión Ordinaria 25-2015 de 6 de mayo de 2015</w:t>
      </w:r>
      <w:r w:rsidR="001356F2" w:rsidRPr="00ED04A2">
        <w:rPr>
          <w:rFonts w:ascii="Verdana" w:hAnsi="Verdana"/>
          <w:sz w:val="22"/>
          <w:szCs w:val="22"/>
        </w:rPr>
        <w:t xml:space="preserve">, de la Junta Directiva del Consejo de Transporte </w:t>
      </w:r>
      <w:r w:rsidR="00D142DC" w:rsidRPr="00ED04A2">
        <w:rPr>
          <w:rFonts w:ascii="Verdana" w:hAnsi="Verdana"/>
          <w:sz w:val="22"/>
          <w:szCs w:val="22"/>
        </w:rPr>
        <w:t>Público</w:t>
      </w:r>
      <w:r w:rsidR="00D142DC">
        <w:rPr>
          <w:rFonts w:ascii="Verdana" w:hAnsi="Verdana"/>
          <w:sz w:val="22"/>
          <w:szCs w:val="22"/>
        </w:rPr>
        <w:t xml:space="preserve">; Salva el Voto el señor Juez </w:t>
      </w:r>
      <w:proofErr w:type="spellStart"/>
      <w:r w:rsidR="00D142DC">
        <w:rPr>
          <w:rFonts w:ascii="Verdana" w:hAnsi="Verdana"/>
          <w:sz w:val="22"/>
          <w:szCs w:val="22"/>
        </w:rPr>
        <w:t>Portuguez</w:t>
      </w:r>
      <w:proofErr w:type="spellEnd"/>
      <w:r w:rsidR="00D142DC">
        <w:rPr>
          <w:rFonts w:ascii="Verdana" w:hAnsi="Verdana"/>
          <w:sz w:val="22"/>
          <w:szCs w:val="22"/>
        </w:rPr>
        <w:t xml:space="preserve"> Méndez</w:t>
      </w:r>
      <w:r>
        <w:rPr>
          <w:rFonts w:ascii="Verdana" w:hAnsi="Verdana"/>
          <w:sz w:val="22"/>
          <w:szCs w:val="22"/>
        </w:rPr>
        <w:t xml:space="preserve">.  </w:t>
      </w:r>
    </w:p>
    <w:p w:rsidR="001D0954" w:rsidRPr="00206B70" w:rsidRDefault="001D0954" w:rsidP="001D0954">
      <w:pPr>
        <w:jc w:val="both"/>
        <w:rPr>
          <w:rFonts w:ascii="Verdana" w:hAnsi="Verdana"/>
          <w:b/>
          <w:sz w:val="22"/>
          <w:szCs w:val="22"/>
        </w:rPr>
      </w:pPr>
    </w:p>
    <w:p w:rsidR="001D0954" w:rsidRPr="00206B70" w:rsidRDefault="001D0954" w:rsidP="001D0954">
      <w:pPr>
        <w:jc w:val="both"/>
        <w:rPr>
          <w:rFonts w:ascii="Verdana" w:hAnsi="Verdana"/>
          <w:b/>
          <w:sz w:val="22"/>
          <w:szCs w:val="22"/>
        </w:rPr>
      </w:pPr>
      <w:r w:rsidRPr="00206B70">
        <w:rPr>
          <w:rFonts w:ascii="Verdana" w:hAnsi="Verdana"/>
          <w:b/>
          <w:sz w:val="22"/>
          <w:szCs w:val="22"/>
        </w:rPr>
        <w:t xml:space="preserve">II.- </w:t>
      </w:r>
      <w:r w:rsidRPr="00206B70">
        <w:rPr>
          <w:rFonts w:ascii="Verdana" w:hAnsi="Verdana"/>
          <w:sz w:val="22"/>
          <w:szCs w:val="22"/>
        </w:rPr>
        <w:t>De conformidad con el artículo 22, inciso c), de la citada Ley 7969, la presente resolución no tiene ulterior recurso por lo que</w:t>
      </w:r>
      <w:r w:rsidRPr="00206B70">
        <w:rPr>
          <w:rFonts w:ascii="Verdana" w:hAnsi="Verdana"/>
          <w:b/>
          <w:sz w:val="22"/>
          <w:szCs w:val="22"/>
        </w:rPr>
        <w:t xml:space="preserve">,  </w:t>
      </w:r>
      <w:r w:rsidRPr="00206B70">
        <w:rPr>
          <w:rFonts w:ascii="Verdana" w:hAnsi="Verdana"/>
          <w:sz w:val="22"/>
          <w:szCs w:val="22"/>
        </w:rPr>
        <w:t>s</w:t>
      </w:r>
      <w:r w:rsidRPr="00385C83">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206B70">
        <w:rPr>
          <w:rFonts w:ascii="Verdana" w:hAnsi="Verdana"/>
          <w:sz w:val="22"/>
          <w:szCs w:val="22"/>
        </w:rPr>
        <w:t xml:space="preserve">. </w:t>
      </w:r>
      <w:r w:rsidRPr="00206B70">
        <w:rPr>
          <w:rFonts w:ascii="Verdana" w:hAnsi="Verdana"/>
          <w:b/>
          <w:sz w:val="22"/>
          <w:szCs w:val="22"/>
        </w:rPr>
        <w:t xml:space="preserve">NOTIFIQUESE.- </w:t>
      </w:r>
    </w:p>
    <w:p w:rsidR="001D0954" w:rsidRPr="00206B70" w:rsidRDefault="001D0954" w:rsidP="001D0954">
      <w:pPr>
        <w:jc w:val="center"/>
        <w:rPr>
          <w:rFonts w:ascii="Verdana" w:hAnsi="Verdana"/>
          <w:b/>
          <w:bCs/>
          <w:sz w:val="22"/>
          <w:szCs w:val="22"/>
        </w:rPr>
      </w:pPr>
    </w:p>
    <w:p w:rsidR="001D0954" w:rsidRDefault="001D0954" w:rsidP="001D0954">
      <w:pPr>
        <w:jc w:val="both"/>
        <w:rPr>
          <w:rFonts w:ascii="Verdana" w:hAnsi="Verdana"/>
          <w:b/>
          <w:sz w:val="22"/>
          <w:szCs w:val="22"/>
        </w:rPr>
      </w:pPr>
      <w:r w:rsidRPr="00206B70">
        <w:rPr>
          <w:rFonts w:ascii="Verdana" w:hAnsi="Verdana"/>
          <w:b/>
          <w:sz w:val="22"/>
          <w:szCs w:val="22"/>
        </w:rPr>
        <w:t xml:space="preserve">                                     </w:t>
      </w:r>
    </w:p>
    <w:p w:rsidR="00180020" w:rsidRDefault="00180020" w:rsidP="001D0954">
      <w:pPr>
        <w:jc w:val="both"/>
        <w:rPr>
          <w:rFonts w:ascii="Verdana" w:hAnsi="Verdana"/>
          <w:b/>
          <w:sz w:val="22"/>
          <w:szCs w:val="22"/>
        </w:rPr>
      </w:pPr>
    </w:p>
    <w:p w:rsidR="00180020" w:rsidRDefault="00180020" w:rsidP="001D0954">
      <w:pPr>
        <w:jc w:val="both"/>
        <w:rPr>
          <w:rFonts w:ascii="Verdana" w:hAnsi="Verdana"/>
          <w:b/>
          <w:sz w:val="22"/>
          <w:szCs w:val="22"/>
        </w:rPr>
      </w:pPr>
    </w:p>
    <w:p w:rsidR="00180020" w:rsidRDefault="00180020" w:rsidP="001D0954">
      <w:pPr>
        <w:jc w:val="both"/>
        <w:rPr>
          <w:rFonts w:ascii="Verdana" w:hAnsi="Verdana"/>
          <w:b/>
          <w:sz w:val="22"/>
          <w:szCs w:val="22"/>
        </w:rPr>
      </w:pPr>
    </w:p>
    <w:p w:rsidR="00180020" w:rsidRPr="00206B70" w:rsidRDefault="00180020" w:rsidP="001D0954">
      <w:pPr>
        <w:jc w:val="both"/>
        <w:rPr>
          <w:rFonts w:ascii="Verdana" w:hAnsi="Verdana"/>
          <w:b/>
          <w:sz w:val="22"/>
          <w:szCs w:val="22"/>
        </w:rPr>
      </w:pPr>
    </w:p>
    <w:p w:rsidR="001D0954" w:rsidRPr="00206B70" w:rsidRDefault="001D0954" w:rsidP="001D0954">
      <w:pPr>
        <w:jc w:val="center"/>
        <w:rPr>
          <w:rFonts w:ascii="Verdana" w:hAnsi="Verdana"/>
          <w:b/>
          <w:sz w:val="22"/>
          <w:szCs w:val="22"/>
        </w:rPr>
      </w:pPr>
      <w:r w:rsidRPr="00206B70">
        <w:rPr>
          <w:rFonts w:ascii="Verdana" w:hAnsi="Verdana"/>
          <w:b/>
          <w:sz w:val="22"/>
          <w:szCs w:val="22"/>
        </w:rPr>
        <w:t xml:space="preserve">Lic. Carlos Miguel </w:t>
      </w:r>
      <w:proofErr w:type="spellStart"/>
      <w:r w:rsidRPr="00206B70">
        <w:rPr>
          <w:rFonts w:ascii="Verdana" w:hAnsi="Verdana"/>
          <w:b/>
          <w:sz w:val="22"/>
          <w:szCs w:val="22"/>
        </w:rPr>
        <w:t>Portuguez</w:t>
      </w:r>
      <w:proofErr w:type="spellEnd"/>
      <w:r w:rsidRPr="00206B70">
        <w:rPr>
          <w:rFonts w:ascii="Verdana" w:hAnsi="Verdana"/>
          <w:b/>
          <w:sz w:val="22"/>
          <w:szCs w:val="22"/>
        </w:rPr>
        <w:t xml:space="preserve"> Méndez</w:t>
      </w:r>
    </w:p>
    <w:p w:rsidR="001D0954" w:rsidRPr="00206B70" w:rsidRDefault="001D0954" w:rsidP="001D0954">
      <w:pPr>
        <w:jc w:val="center"/>
        <w:rPr>
          <w:rFonts w:ascii="Verdana" w:hAnsi="Verdana"/>
          <w:b/>
          <w:sz w:val="22"/>
          <w:szCs w:val="22"/>
        </w:rPr>
      </w:pPr>
      <w:r w:rsidRPr="00206B70">
        <w:rPr>
          <w:rFonts w:ascii="Verdana" w:hAnsi="Verdana"/>
          <w:b/>
          <w:sz w:val="22"/>
          <w:szCs w:val="22"/>
        </w:rPr>
        <w:t>Presidente</w:t>
      </w:r>
    </w:p>
    <w:p w:rsidR="001D0954" w:rsidRPr="00206B70" w:rsidRDefault="001D0954" w:rsidP="001D0954">
      <w:pPr>
        <w:jc w:val="both"/>
        <w:rPr>
          <w:rFonts w:ascii="Verdana" w:hAnsi="Verdana"/>
          <w:b/>
          <w:bCs/>
          <w:i/>
          <w:iCs/>
          <w:sz w:val="22"/>
          <w:szCs w:val="22"/>
        </w:rPr>
      </w:pPr>
    </w:p>
    <w:p w:rsidR="001D0954" w:rsidRDefault="001D0954" w:rsidP="001D0954">
      <w:pPr>
        <w:jc w:val="both"/>
        <w:rPr>
          <w:rFonts w:ascii="Verdana" w:hAnsi="Verdana"/>
          <w:b/>
          <w:bCs/>
          <w:i/>
          <w:iCs/>
          <w:sz w:val="22"/>
          <w:szCs w:val="22"/>
        </w:rPr>
      </w:pPr>
    </w:p>
    <w:p w:rsidR="00180020" w:rsidRDefault="00180020" w:rsidP="001D0954">
      <w:pPr>
        <w:jc w:val="both"/>
        <w:rPr>
          <w:rFonts w:ascii="Verdana" w:hAnsi="Verdana"/>
          <w:b/>
          <w:bCs/>
          <w:i/>
          <w:iCs/>
          <w:sz w:val="22"/>
          <w:szCs w:val="22"/>
        </w:rPr>
      </w:pPr>
    </w:p>
    <w:p w:rsidR="00180020" w:rsidRDefault="00180020" w:rsidP="001D0954">
      <w:pPr>
        <w:jc w:val="both"/>
        <w:rPr>
          <w:rFonts w:ascii="Verdana" w:hAnsi="Verdana"/>
          <w:b/>
          <w:bCs/>
          <w:i/>
          <w:iCs/>
          <w:sz w:val="22"/>
          <w:szCs w:val="22"/>
        </w:rPr>
      </w:pPr>
    </w:p>
    <w:p w:rsidR="00180020" w:rsidRDefault="00180020" w:rsidP="001D0954">
      <w:pPr>
        <w:jc w:val="both"/>
        <w:rPr>
          <w:rFonts w:ascii="Verdana" w:hAnsi="Verdana"/>
          <w:b/>
          <w:bCs/>
          <w:i/>
          <w:iCs/>
          <w:sz w:val="22"/>
          <w:szCs w:val="22"/>
        </w:rPr>
      </w:pPr>
    </w:p>
    <w:p w:rsidR="00180020" w:rsidRDefault="00180020" w:rsidP="001D0954">
      <w:pPr>
        <w:jc w:val="both"/>
        <w:rPr>
          <w:rFonts w:ascii="Verdana" w:hAnsi="Verdana"/>
          <w:b/>
          <w:bCs/>
          <w:i/>
          <w:iCs/>
          <w:sz w:val="22"/>
          <w:szCs w:val="22"/>
        </w:rPr>
      </w:pPr>
    </w:p>
    <w:p w:rsidR="00180020" w:rsidRPr="00206B70" w:rsidRDefault="00180020" w:rsidP="001D0954">
      <w:pPr>
        <w:jc w:val="both"/>
        <w:rPr>
          <w:rFonts w:ascii="Verdana" w:hAnsi="Verdana"/>
          <w:b/>
          <w:bCs/>
          <w:i/>
          <w:iCs/>
          <w:sz w:val="22"/>
          <w:szCs w:val="22"/>
        </w:rPr>
      </w:pPr>
    </w:p>
    <w:p w:rsidR="001D0954" w:rsidRPr="00206B70" w:rsidRDefault="001D0954" w:rsidP="001D0954">
      <w:pPr>
        <w:jc w:val="both"/>
        <w:rPr>
          <w:rFonts w:ascii="Verdana" w:hAnsi="Verdana"/>
          <w:b/>
          <w:sz w:val="22"/>
          <w:szCs w:val="22"/>
        </w:rPr>
      </w:pPr>
      <w:r w:rsidRPr="00206B70">
        <w:rPr>
          <w:rFonts w:ascii="Verdana" w:hAnsi="Verdana"/>
          <w:b/>
          <w:sz w:val="22"/>
          <w:szCs w:val="22"/>
        </w:rPr>
        <w:t xml:space="preserve">Lic. </w:t>
      </w:r>
      <w:r>
        <w:rPr>
          <w:rFonts w:ascii="Verdana" w:hAnsi="Verdana"/>
          <w:b/>
          <w:sz w:val="22"/>
          <w:szCs w:val="22"/>
        </w:rPr>
        <w:t>Mario Quesada Aguirre</w:t>
      </w:r>
      <w:r w:rsidRPr="00206B70">
        <w:rPr>
          <w:rFonts w:ascii="Verdana" w:hAnsi="Verdana"/>
          <w:b/>
          <w:sz w:val="22"/>
          <w:szCs w:val="22"/>
        </w:rPr>
        <w:t xml:space="preserve">              Licda. Marta Luz Pérez Peláez                               </w:t>
      </w:r>
    </w:p>
    <w:p w:rsidR="001D0954" w:rsidRPr="00206B70" w:rsidRDefault="00D142DC" w:rsidP="00D142DC">
      <w:pPr>
        <w:rPr>
          <w:rFonts w:ascii="Verdana" w:hAnsi="Verdana"/>
          <w:b/>
          <w:smallCaps/>
          <w:sz w:val="22"/>
          <w:szCs w:val="22"/>
          <w:lang w:val="es-MX"/>
        </w:rPr>
      </w:pPr>
      <w:r>
        <w:rPr>
          <w:rFonts w:ascii="Verdana" w:hAnsi="Verdana"/>
          <w:b/>
          <w:sz w:val="22"/>
          <w:szCs w:val="22"/>
        </w:rPr>
        <w:t xml:space="preserve">                     </w:t>
      </w:r>
      <w:r w:rsidR="001D0954" w:rsidRPr="00206B70">
        <w:rPr>
          <w:rFonts w:ascii="Verdana" w:hAnsi="Verdana"/>
          <w:b/>
          <w:sz w:val="22"/>
          <w:szCs w:val="22"/>
        </w:rPr>
        <w:t>Juez</w:t>
      </w:r>
      <w:r w:rsidR="001D0954" w:rsidRPr="00206B70">
        <w:rPr>
          <w:rFonts w:ascii="Verdana" w:hAnsi="Verdana"/>
          <w:b/>
          <w:sz w:val="22"/>
          <w:szCs w:val="22"/>
        </w:rPr>
        <w:tab/>
      </w:r>
      <w:r w:rsidR="001D0954" w:rsidRPr="00206B70">
        <w:rPr>
          <w:rFonts w:ascii="Verdana" w:hAnsi="Verdana"/>
          <w:b/>
          <w:sz w:val="22"/>
          <w:szCs w:val="22"/>
        </w:rPr>
        <w:tab/>
      </w:r>
      <w:r w:rsidR="001D0954" w:rsidRPr="00206B70">
        <w:rPr>
          <w:rFonts w:ascii="Verdana" w:hAnsi="Verdana"/>
          <w:b/>
          <w:sz w:val="22"/>
          <w:szCs w:val="22"/>
        </w:rPr>
        <w:tab/>
        <w:t xml:space="preserve">   </w:t>
      </w:r>
      <w:r w:rsidR="001D0954" w:rsidRPr="00206B70">
        <w:rPr>
          <w:rFonts w:ascii="Verdana" w:hAnsi="Verdana"/>
          <w:b/>
          <w:sz w:val="22"/>
          <w:szCs w:val="22"/>
        </w:rPr>
        <w:tab/>
        <w:t xml:space="preserve">      </w:t>
      </w:r>
      <w:proofErr w:type="spellStart"/>
      <w:r w:rsidR="001D0954" w:rsidRPr="00206B70">
        <w:rPr>
          <w:rFonts w:ascii="Verdana" w:hAnsi="Verdana"/>
          <w:b/>
          <w:sz w:val="22"/>
          <w:szCs w:val="22"/>
        </w:rPr>
        <w:t>Juez</w:t>
      </w:r>
      <w:proofErr w:type="spellEnd"/>
    </w:p>
    <w:sectPr w:rsidR="001D0954" w:rsidRPr="00206B70" w:rsidSect="00230FCB">
      <w:footerReference w:type="even" r:id="rId7"/>
      <w:footerReference w:type="default" r:id="rId8"/>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B1" w:rsidRDefault="005E04B1" w:rsidP="005200DD">
      <w:r>
        <w:separator/>
      </w:r>
    </w:p>
  </w:endnote>
  <w:endnote w:type="continuationSeparator" w:id="0">
    <w:p w:rsidR="005E04B1" w:rsidRDefault="005E04B1" w:rsidP="0052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B" w:rsidRDefault="005200DD" w:rsidP="00230FCB">
    <w:pPr>
      <w:pStyle w:val="Piedepgina"/>
      <w:framePr w:wrap="around" w:vAnchor="text" w:hAnchor="margin" w:xAlign="right" w:y="1"/>
      <w:rPr>
        <w:rStyle w:val="Nmerodepgina"/>
      </w:rPr>
    </w:pPr>
    <w:r>
      <w:rPr>
        <w:rStyle w:val="Nmerodepgina"/>
      </w:rPr>
      <w:fldChar w:fldCharType="begin"/>
    </w:r>
    <w:r w:rsidR="003917C7">
      <w:rPr>
        <w:rStyle w:val="Nmerodepgina"/>
      </w:rPr>
      <w:instrText xml:space="preserve">PAGE  </w:instrText>
    </w:r>
    <w:r>
      <w:rPr>
        <w:rStyle w:val="Nmerodepgina"/>
      </w:rPr>
      <w:fldChar w:fldCharType="end"/>
    </w:r>
  </w:p>
  <w:p w:rsidR="00230FCB" w:rsidRDefault="005E04B1" w:rsidP="00230F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B" w:rsidRDefault="005E04B1" w:rsidP="00AA59CD">
    <w:pPr>
      <w:pStyle w:val="Piedepgina"/>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B1" w:rsidRDefault="005E04B1" w:rsidP="005200DD">
      <w:r>
        <w:separator/>
      </w:r>
    </w:p>
  </w:footnote>
  <w:footnote w:type="continuationSeparator" w:id="0">
    <w:p w:rsidR="005E04B1" w:rsidRDefault="005E04B1" w:rsidP="00520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4ADC"/>
    <w:multiLevelType w:val="hybridMultilevel"/>
    <w:tmpl w:val="23F843DC"/>
    <w:lvl w:ilvl="0" w:tplc="CA68B40E">
      <w:start w:val="1"/>
      <w:numFmt w:val="decimal"/>
      <w:lvlText w:val="%1-"/>
      <w:lvlJc w:val="left"/>
      <w:pPr>
        <w:ind w:left="173" w:hanging="360"/>
      </w:pPr>
      <w:rPr>
        <w:rFonts w:hint="default"/>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abstractNum w:abstractNumId="1" w15:restartNumberingAfterBreak="0">
    <w:nsid w:val="51AA3C3E"/>
    <w:multiLevelType w:val="hybridMultilevel"/>
    <w:tmpl w:val="23909920"/>
    <w:lvl w:ilvl="0" w:tplc="FEB4F260">
      <w:start w:val="1"/>
      <w:numFmt w:val="lowerLetter"/>
      <w:lvlText w:val="%1)"/>
      <w:lvlJc w:val="left"/>
      <w:pPr>
        <w:ind w:left="173" w:hanging="360"/>
      </w:pPr>
      <w:rPr>
        <w:rFonts w:hint="default"/>
        <w:b w:val="0"/>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54"/>
    <w:rsid w:val="00021663"/>
    <w:rsid w:val="000540D5"/>
    <w:rsid w:val="0009062E"/>
    <w:rsid w:val="000B59F6"/>
    <w:rsid w:val="000F616A"/>
    <w:rsid w:val="000F6769"/>
    <w:rsid w:val="00115A51"/>
    <w:rsid w:val="0012044F"/>
    <w:rsid w:val="001356F2"/>
    <w:rsid w:val="00180020"/>
    <w:rsid w:val="0019514F"/>
    <w:rsid w:val="001B7838"/>
    <w:rsid w:val="001D0954"/>
    <w:rsid w:val="001D2E72"/>
    <w:rsid w:val="001D5B5B"/>
    <w:rsid w:val="001E0D8A"/>
    <w:rsid w:val="00213DC2"/>
    <w:rsid w:val="002A1AEA"/>
    <w:rsid w:val="002C55FD"/>
    <w:rsid w:val="00331587"/>
    <w:rsid w:val="00351F1E"/>
    <w:rsid w:val="003521D4"/>
    <w:rsid w:val="00352964"/>
    <w:rsid w:val="00385C83"/>
    <w:rsid w:val="00386026"/>
    <w:rsid w:val="003917C7"/>
    <w:rsid w:val="003F0C6C"/>
    <w:rsid w:val="0040625B"/>
    <w:rsid w:val="00414262"/>
    <w:rsid w:val="0042207E"/>
    <w:rsid w:val="004545CB"/>
    <w:rsid w:val="00455683"/>
    <w:rsid w:val="004674B3"/>
    <w:rsid w:val="00480E76"/>
    <w:rsid w:val="004A1293"/>
    <w:rsid w:val="005150E6"/>
    <w:rsid w:val="005200DD"/>
    <w:rsid w:val="005248E1"/>
    <w:rsid w:val="00534BAD"/>
    <w:rsid w:val="00534C9C"/>
    <w:rsid w:val="0054792D"/>
    <w:rsid w:val="005B21B8"/>
    <w:rsid w:val="005C7103"/>
    <w:rsid w:val="005E04B1"/>
    <w:rsid w:val="005E6F4F"/>
    <w:rsid w:val="006269CA"/>
    <w:rsid w:val="00735232"/>
    <w:rsid w:val="0077134D"/>
    <w:rsid w:val="007E6DB9"/>
    <w:rsid w:val="00801651"/>
    <w:rsid w:val="00805F41"/>
    <w:rsid w:val="00807956"/>
    <w:rsid w:val="00832DCC"/>
    <w:rsid w:val="008408FF"/>
    <w:rsid w:val="00857F5C"/>
    <w:rsid w:val="00867552"/>
    <w:rsid w:val="008D5B9D"/>
    <w:rsid w:val="008E2320"/>
    <w:rsid w:val="009F062D"/>
    <w:rsid w:val="00A2035F"/>
    <w:rsid w:val="00AA59CD"/>
    <w:rsid w:val="00AB06BA"/>
    <w:rsid w:val="00AF534F"/>
    <w:rsid w:val="00AF7B1D"/>
    <w:rsid w:val="00B055C6"/>
    <w:rsid w:val="00B412E2"/>
    <w:rsid w:val="00B95740"/>
    <w:rsid w:val="00BF156C"/>
    <w:rsid w:val="00C12C09"/>
    <w:rsid w:val="00C13639"/>
    <w:rsid w:val="00C20793"/>
    <w:rsid w:val="00C27AED"/>
    <w:rsid w:val="00C40C5D"/>
    <w:rsid w:val="00C434F9"/>
    <w:rsid w:val="00C917EA"/>
    <w:rsid w:val="00C92653"/>
    <w:rsid w:val="00CA4B4C"/>
    <w:rsid w:val="00CD1DE7"/>
    <w:rsid w:val="00CD63A9"/>
    <w:rsid w:val="00D142DC"/>
    <w:rsid w:val="00D74A6E"/>
    <w:rsid w:val="00DC2FC3"/>
    <w:rsid w:val="00DD7453"/>
    <w:rsid w:val="00DE67AA"/>
    <w:rsid w:val="00E017D6"/>
    <w:rsid w:val="00E025BF"/>
    <w:rsid w:val="00E54BEC"/>
    <w:rsid w:val="00EC1BBA"/>
    <w:rsid w:val="00ED1257"/>
    <w:rsid w:val="00F07599"/>
    <w:rsid w:val="00F52D69"/>
    <w:rsid w:val="00F824BD"/>
    <w:rsid w:val="00F941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433907"/>
  <w15:docId w15:val="{1FEADD58-FD9A-4E19-A7FD-F0610F7F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095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D0954"/>
    <w:pPr>
      <w:jc w:val="both"/>
    </w:pPr>
    <w:rPr>
      <w:sz w:val="24"/>
      <w:lang w:val="es-MX"/>
    </w:rPr>
  </w:style>
  <w:style w:type="character" w:customStyle="1" w:styleId="Textoindependiente2Car">
    <w:name w:val="Texto independiente 2 Car"/>
    <w:basedOn w:val="Fuentedeprrafopredeter"/>
    <w:link w:val="Textoindependiente2"/>
    <w:rsid w:val="001D095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1D0954"/>
    <w:pPr>
      <w:tabs>
        <w:tab w:val="center" w:pos="4252"/>
        <w:tab w:val="right" w:pos="8504"/>
      </w:tabs>
    </w:pPr>
  </w:style>
  <w:style w:type="character" w:customStyle="1" w:styleId="PiedepginaCar">
    <w:name w:val="Pie de página Car"/>
    <w:basedOn w:val="Fuentedeprrafopredeter"/>
    <w:link w:val="Piedepgina"/>
    <w:rsid w:val="001D0954"/>
    <w:rPr>
      <w:rFonts w:ascii="Times New Roman" w:eastAsia="Times New Roman" w:hAnsi="Times New Roman" w:cs="Times New Roman"/>
      <w:sz w:val="20"/>
      <w:szCs w:val="20"/>
      <w:lang w:eastAsia="es-ES"/>
    </w:rPr>
  </w:style>
  <w:style w:type="character" w:styleId="Nmerodepgina">
    <w:name w:val="page number"/>
    <w:basedOn w:val="Fuentedeprrafopredeter"/>
    <w:rsid w:val="001D0954"/>
  </w:style>
  <w:style w:type="paragraph" w:customStyle="1" w:styleId="Default">
    <w:name w:val="Default"/>
    <w:rsid w:val="001D0954"/>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1D0954"/>
  </w:style>
  <w:style w:type="paragraph" w:styleId="Sinespaciado">
    <w:name w:val="No Spacing"/>
    <w:link w:val="SinespaciadoCar"/>
    <w:uiPriority w:val="1"/>
    <w:qFormat/>
    <w:rsid w:val="00F52D6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F52D69"/>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52D69"/>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F52D69"/>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F52D69"/>
    <w:rPr>
      <w:sz w:val="25"/>
      <w:szCs w:val="25"/>
    </w:rPr>
  </w:style>
  <w:style w:type="paragraph" w:styleId="Encabezado">
    <w:name w:val="header"/>
    <w:basedOn w:val="Normal"/>
    <w:link w:val="EncabezadoCar"/>
    <w:uiPriority w:val="99"/>
    <w:unhideWhenUsed/>
    <w:rsid w:val="0042207E"/>
    <w:pPr>
      <w:tabs>
        <w:tab w:val="center" w:pos="4419"/>
        <w:tab w:val="right" w:pos="8838"/>
      </w:tabs>
    </w:pPr>
  </w:style>
  <w:style w:type="character" w:customStyle="1" w:styleId="EncabezadoCar">
    <w:name w:val="Encabezado Car"/>
    <w:basedOn w:val="Fuentedeprrafopredeter"/>
    <w:link w:val="Encabezado"/>
    <w:uiPriority w:val="99"/>
    <w:rsid w:val="0042207E"/>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85C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5C8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11718</Words>
  <Characters>64455</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2</cp:revision>
  <cp:lastPrinted>2016-04-26T16:40:00Z</cp:lastPrinted>
  <dcterms:created xsi:type="dcterms:W3CDTF">2016-08-05T16:12:00Z</dcterms:created>
  <dcterms:modified xsi:type="dcterms:W3CDTF">2016-08-05T16:12:00Z</dcterms:modified>
</cp:coreProperties>
</file>